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14" w:rsidRDefault="00BE7314" w:rsidP="00BE7314">
      <w:pPr>
        <w:pStyle w:val="Ttulo1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proofErr w:type="spellStart"/>
      <w:r>
        <w:rPr>
          <w:rFonts w:ascii="Arial" w:hAnsi="Arial" w:cs="Arial"/>
          <w:color w:val="000000"/>
          <w:sz w:val="41"/>
          <w:szCs w:val="41"/>
        </w:rPr>
        <w:t>Cicloviário</w:t>
      </w:r>
      <w:proofErr w:type="spellEnd"/>
    </w:p>
    <w:p w:rsidR="00BE7314" w:rsidRDefault="00BE7314" w:rsidP="00BE731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Porto Alegre está implantando 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 xml:space="preserve">Plano Diretor 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Cicloviário</w:t>
        </w:r>
        <w:proofErr w:type="spellEnd"/>
        <w:r>
          <w:rPr>
            <w:rStyle w:val="Hyperlink"/>
            <w:rFonts w:ascii="Arial" w:hAnsi="Arial" w:cs="Arial"/>
            <w:sz w:val="20"/>
            <w:szCs w:val="20"/>
          </w:rPr>
          <w:t xml:space="preserve"> Integrado – (PDCI)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aprovado em 2009, com o objetivo de “incentivar o uso da bicicleta como meio de transporte, dotando a cidade de instrumentos e infraestrutura eficazes para a implantação de uma rede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cicloviária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que propicie segurança e comodidade para o ciclista”. Tal objetivo se alinha às diretrizes estabelecidas em nível municipal pelo PDDUA – Plano Diretor de Desenvolvimento Urbano e Ambiental e, em nível nacional, pelo Ministério das Cidades, que priorizam os meios de transporte não motorizados, por suas características de maior sustentabilidade social, urbanística e ambiental.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Na pesquisa de origem e destino por entrevistas domiciliares realizadas pela Prefeitura Municipal (EDOM 2003), menos de 1% das viagens diárias dos moradores de Porto Alegre eram realizadas com bicicleta. Os estudos demonstraram, ainda, que uma rede completa de ciclovias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bicicletários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que permitam circular e estacionar com conforto e segurança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pode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fazer com que 10% dessas viagens se realize por bicicleta – cerca de 300 mil viagens por dia no ano de 2022.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Os estudos foram consolidados em uma minuta de projeto de lei encaminhado à Câmara de Vereadores, que aprovou o PDCI por meio da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Lei Complementar 626, de 15 de julho de 2009</w:t>
        </w:r>
      </w:hyperlink>
      <w:r>
        <w:rPr>
          <w:rFonts w:ascii="Arial" w:hAnsi="Arial" w:cs="Arial"/>
          <w:color w:val="000000"/>
          <w:sz w:val="20"/>
          <w:szCs w:val="20"/>
        </w:rPr>
        <w:t>. Entre os instrumentos previstos está o gravame de uma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 xml:space="preserve">Rede 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Cicloviária</w:t>
        </w:r>
        <w:proofErr w:type="spellEnd"/>
        <w:r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Estrutural</w:t>
        </w:r>
      </w:hyperlink>
      <w:r>
        <w:rPr>
          <w:rFonts w:ascii="Arial" w:hAnsi="Arial" w:cs="Arial"/>
          <w:color w:val="000000"/>
          <w:sz w:val="20"/>
          <w:szCs w:val="20"/>
        </w:rPr>
        <w:t>que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cobre todo o território do Município e se compõe de 495 km de vias que deverão, necessariamente, receber ciclovias ou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ciclofaixas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Tal instrumento permitiu que todas as vias que serão reurbanizadas com recursos do PAC Copa tenham ciclovias incluídas em seu projeto.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Outro importante instrumento de ampliação da rede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cicloviária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é a construção de ciclovias proporcionais ao número de vagas de estacionamento de automóveis, como contrapartida para grandes empreendimentos.</w:t>
      </w:r>
    </w:p>
    <w:p w:rsidR="00BE7314" w:rsidRDefault="00BE7314" w:rsidP="00BE731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E7314" w:rsidRDefault="00BE7314" w:rsidP="00BE7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 xml:space="preserve">Congresso ANPET - Plano Diretor 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Cicloviário</w:t>
        </w:r>
        <w:proofErr w:type="spellEnd"/>
        <w:r>
          <w:rPr>
            <w:rStyle w:val="Hyperlink"/>
            <w:rFonts w:ascii="Arial" w:hAnsi="Arial" w:cs="Arial"/>
            <w:sz w:val="20"/>
            <w:szCs w:val="20"/>
          </w:rPr>
          <w:t xml:space="preserve"> Integrado de Porto Alegre</w:t>
        </w:r>
        <w:proofErr w:type="gramStart"/>
        <w:r>
          <w:rPr>
            <w:rStyle w:val="Hyperlink"/>
            <w:rFonts w:ascii="Arial" w:hAnsi="Arial" w:cs="Arial"/>
            <w:sz w:val="20"/>
            <w:szCs w:val="20"/>
          </w:rPr>
          <w:t xml:space="preserve">  </w:t>
        </w:r>
        <w:proofErr w:type="gramEnd"/>
        <w:r>
          <w:rPr>
            <w:rStyle w:val="Hyperlink"/>
            <w:rFonts w:ascii="Arial" w:hAnsi="Arial" w:cs="Arial"/>
            <w:sz w:val="20"/>
            <w:szCs w:val="20"/>
          </w:rPr>
          <w:t>- A questão da institucionalização: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Relato sobre a experiência de elaboração de um Plano Diretor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Cicloviário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para a cidade de Porto Alegre, capital do estado do Rio Grande do Sul, Brasil. O enfoque principal está direcionado para a institucionalização do Plano, elaborando instrumentos eficazes para a criação de uma rede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cicloviária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na cidade dentro da estrutura política e administrativa existente.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BE7314" w:rsidRDefault="00BE7314" w:rsidP="00BE7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 xml:space="preserve">Congresso ANTP - Plano Diretor 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Cicloviário</w:t>
        </w:r>
        <w:proofErr w:type="spellEnd"/>
        <w:r>
          <w:rPr>
            <w:rStyle w:val="Hyperlink"/>
            <w:rFonts w:ascii="Arial" w:hAnsi="Arial" w:cs="Arial"/>
            <w:sz w:val="20"/>
            <w:szCs w:val="20"/>
          </w:rPr>
          <w:t xml:space="preserve"> Integrado de Porto Alegre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: Relato sobre o Plano Diretor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Cicloviário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Integrado de Porto Alegre, envolvendo os estudos efetuados por consultoria de transportes, as medidas institucionais, com a aprovação de Lei Complementar, e o início da implantação da rede de ciclovias que deverá cobrir todo o Município.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proofErr w:type="gramEnd"/>
      <w:r>
        <w:rPr>
          <w:rFonts w:ascii="Arial" w:hAnsi="Arial" w:cs="Arial"/>
          <w:color w:val="000000"/>
          <w:sz w:val="20"/>
          <w:szCs w:val="20"/>
        </w:rPr>
        <w:t> </w:t>
      </w:r>
    </w:p>
    <w:p w:rsidR="00BE7314" w:rsidRDefault="00BE7314" w:rsidP="00BE7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 xml:space="preserve">Plano Diretor 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Cicloviário</w:t>
        </w:r>
        <w:proofErr w:type="spellEnd"/>
        <w:r>
          <w:rPr>
            <w:rStyle w:val="Hyperlink"/>
            <w:rFonts w:ascii="Arial" w:hAnsi="Arial" w:cs="Arial"/>
            <w:sz w:val="20"/>
            <w:szCs w:val="20"/>
          </w:rPr>
          <w:t xml:space="preserve"> Integrado de Porto Alegre - Resumo </w:t>
        </w:r>
        <w:proofErr w:type="gramStart"/>
        <w:r>
          <w:rPr>
            <w:rStyle w:val="Hyperlink"/>
            <w:rFonts w:ascii="Arial" w:hAnsi="Arial" w:cs="Arial"/>
            <w:sz w:val="20"/>
            <w:szCs w:val="20"/>
          </w:rPr>
          <w:t>Executivo:</w:t>
        </w:r>
        <w:proofErr w:type="gramEnd"/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Este documento apresenta o Resumo Executivo do Plano Diretor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Cicloviário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Porto Alegre elaborado pelo Consórcio Oficina-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Logit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-Matricial. O trabalho foi iniciado em julho de 2006 e envolveu a participação dos técnicos do Consórcio e o Grupo Técnico de Acompanhamento – GTA formado por integrantes da ETPC, da Secretaria Municipal de Obras e Viação – SMOV e da Secretaria do Meio Ambiente – SMAM.</w:t>
      </w:r>
    </w:p>
    <w:p w:rsidR="005621F2" w:rsidRDefault="005621F2">
      <w:bookmarkStart w:id="0" w:name="_GoBack"/>
      <w:bookmarkEnd w:id="0"/>
    </w:p>
    <w:sectPr w:rsidR="005621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36800"/>
    <w:multiLevelType w:val="multilevel"/>
    <w:tmpl w:val="2096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58"/>
    <w:rsid w:val="005621F2"/>
    <w:rsid w:val="00BE7314"/>
    <w:rsid w:val="00D0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00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065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D00658"/>
    <w:rPr>
      <w:b/>
      <w:bCs/>
    </w:rPr>
  </w:style>
  <w:style w:type="character" w:customStyle="1" w:styleId="apple-converted-space">
    <w:name w:val="apple-converted-space"/>
    <w:basedOn w:val="Fontepargpadro"/>
    <w:rsid w:val="00D00658"/>
  </w:style>
  <w:style w:type="character" w:styleId="Hyperlink">
    <w:name w:val="Hyperlink"/>
    <w:basedOn w:val="Fontepargpadro"/>
    <w:uiPriority w:val="99"/>
    <w:semiHidden/>
    <w:unhideWhenUsed/>
    <w:rsid w:val="00BE73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00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065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D00658"/>
    <w:rPr>
      <w:b/>
      <w:bCs/>
    </w:rPr>
  </w:style>
  <w:style w:type="character" w:customStyle="1" w:styleId="apple-converted-space">
    <w:name w:val="apple-converted-space"/>
    <w:basedOn w:val="Fontepargpadro"/>
    <w:rsid w:val="00D00658"/>
  </w:style>
  <w:style w:type="character" w:styleId="Hyperlink">
    <w:name w:val="Hyperlink"/>
    <w:basedOn w:val="Fontepargpadro"/>
    <w:uiPriority w:val="99"/>
    <w:semiHidden/>
    <w:unhideWhenUsed/>
    <w:rsid w:val="00BE7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roweb.procempa.com.br/pmpa/prefpoa/eptc/usu_doc/mapa_rede_cicloviaria_estrutural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proweb.procempa.com.br/pmpa/prefpoa/eptc/usu_doc/lei_complementar_626_alterada_pela_lc_710_pdc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proweb.procempa.com.br/pmpa/prefpoa/eptc/usu_doc/pdci_relatorio_final.pdf" TargetMode="External"/><Relationship Id="rId11" Type="http://schemas.openxmlformats.org/officeDocument/2006/relationships/hyperlink" Target="http://lproweb.procempa.com.br/pmpa/prefpoa/eptc/usu_doc/pdci_resumo_executiv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proweb.procempa.com.br/pmpa/prefpoa/eptc/usu_doc/congresso_antp_plano_diretor_cicloviario_integrado_porto_alegr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proweb.procempa.com.br/pmpa/prefpoa/eptc/usu_doc/congresso_anpet_institucionalizacao_do_pdci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2013-11-19T13:46:00Z</dcterms:created>
  <dcterms:modified xsi:type="dcterms:W3CDTF">2013-11-19T13:46:00Z</dcterms:modified>
</cp:coreProperties>
</file>