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94" w:rsidRDefault="00710E94" w:rsidP="00710E94">
      <w:pPr>
        <w:pStyle w:val="Title"/>
      </w:pPr>
      <w:r>
        <w:t>Climate Ready Boston: Municipal Vulnerability to Climate Change</w:t>
      </w:r>
    </w:p>
    <w:p w:rsidR="00710E94" w:rsidRDefault="00710E94" w:rsidP="00710E94"/>
    <w:p w:rsidR="00710E94" w:rsidRDefault="00710E94" w:rsidP="00710E94"/>
    <w:p w:rsidR="00710E94" w:rsidRDefault="00710E94" w:rsidP="00710E94">
      <w:r>
        <w:br w:type="page"/>
      </w:r>
    </w:p>
    <w:p w:rsidR="00710E94" w:rsidRPr="0099174B" w:rsidRDefault="00710E94" w:rsidP="00710E94">
      <w:pPr>
        <w:rPr>
          <w:rStyle w:val="Strong"/>
        </w:rPr>
      </w:pPr>
      <w:r w:rsidRPr="0099174B">
        <w:rPr>
          <w:rStyle w:val="Strong"/>
          <w:sz w:val="32"/>
        </w:rPr>
        <w:lastRenderedPageBreak/>
        <w:t>City of Boston Climate Preparedness Task Force</w:t>
      </w:r>
    </w:p>
    <w:p w:rsidR="00710E94" w:rsidRPr="0099174B" w:rsidRDefault="00710E94" w:rsidP="00710E94">
      <w:pPr>
        <w:pStyle w:val="NoSpacing"/>
        <w:rPr>
          <w:sz w:val="36"/>
        </w:rPr>
      </w:pPr>
      <w:r>
        <w:rPr>
          <w:sz w:val="36"/>
        </w:rPr>
        <w:t xml:space="preserve">Convened by </w:t>
      </w:r>
      <w:r w:rsidRPr="0099174B">
        <w:rPr>
          <w:sz w:val="36"/>
        </w:rPr>
        <w:t xml:space="preserve">Mayor Thomas M. </w:t>
      </w:r>
      <w:proofErr w:type="spellStart"/>
      <w:r w:rsidRPr="0099174B">
        <w:rPr>
          <w:sz w:val="36"/>
        </w:rPr>
        <w:t>Menino</w:t>
      </w:r>
      <w:proofErr w:type="spellEnd"/>
      <w:r w:rsidRPr="0099174B">
        <w:rPr>
          <w:sz w:val="36"/>
        </w:rPr>
        <w:t xml:space="preserve"> &amp; </w:t>
      </w:r>
    </w:p>
    <w:p w:rsidR="00710E94" w:rsidRPr="0099174B" w:rsidRDefault="00710E94" w:rsidP="00710E94">
      <w:pPr>
        <w:pStyle w:val="NoSpacing"/>
        <w:rPr>
          <w:sz w:val="32"/>
        </w:rPr>
      </w:pPr>
      <w:r>
        <w:rPr>
          <w:sz w:val="28"/>
        </w:rPr>
        <w:t>Brian</w:t>
      </w:r>
      <w:r w:rsidRPr="0099174B">
        <w:rPr>
          <w:sz w:val="28"/>
        </w:rPr>
        <w:t xml:space="preserve"> R. </w:t>
      </w:r>
      <w:proofErr w:type="spellStart"/>
      <w:r w:rsidRPr="0099174B">
        <w:rPr>
          <w:sz w:val="28"/>
        </w:rPr>
        <w:t>Swett</w:t>
      </w:r>
      <w:proofErr w:type="spellEnd"/>
      <w:r w:rsidRPr="0099174B">
        <w:rPr>
          <w:sz w:val="28"/>
        </w:rPr>
        <w:t>, C</w:t>
      </w:r>
      <w:r>
        <w:rPr>
          <w:sz w:val="28"/>
        </w:rPr>
        <w:t xml:space="preserve">hief of Environment and </w:t>
      </w:r>
      <w:r w:rsidRPr="0099174B">
        <w:rPr>
          <w:sz w:val="28"/>
        </w:rPr>
        <w:t>Energy</w:t>
      </w:r>
    </w:p>
    <w:p w:rsidR="00710E94" w:rsidRDefault="00710E94" w:rsidP="00710E94">
      <w:pPr>
        <w:pStyle w:val="NoSpacing"/>
      </w:pPr>
    </w:p>
    <w:p w:rsidR="00710E94" w:rsidRPr="0099174B" w:rsidRDefault="00710E94" w:rsidP="00710E94">
      <w:pPr>
        <w:rPr>
          <w:rStyle w:val="Strong"/>
        </w:rPr>
      </w:pPr>
      <w:r>
        <w:rPr>
          <w:rStyle w:val="Strong"/>
        </w:rPr>
        <w:t>Task Force Members</w:t>
      </w:r>
    </w:p>
    <w:p w:rsidR="00710E94" w:rsidRDefault="00710E94" w:rsidP="00710E94">
      <w:pPr>
        <w:pStyle w:val="NoSpacing"/>
        <w:sectPr w:rsidR="00710E9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710E94" w:rsidRPr="007B556E"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Default="00710E94" w:rsidP="00710E94">
      <w:pPr>
        <w:pStyle w:val="NoSpacing"/>
        <w:rPr>
          <w:sz w:val="20"/>
        </w:rPr>
      </w:pPr>
    </w:p>
    <w:p w:rsidR="00710E94" w:rsidRPr="007B556E" w:rsidRDefault="00710E94" w:rsidP="00710E94">
      <w:pPr>
        <w:pStyle w:val="NoSpacing"/>
        <w:rPr>
          <w:sz w:val="20"/>
        </w:rPr>
        <w:sectPr w:rsidR="00710E94" w:rsidRPr="007B556E">
          <w:type w:val="continuous"/>
          <w:pgSz w:w="12240" w:h="15840"/>
          <w:pgMar w:top="1440" w:right="1440" w:bottom="1440" w:left="1440" w:header="720" w:footer="720" w:gutter="0"/>
          <w:cols w:num="2" w:space="720"/>
          <w:docGrid w:linePitch="360"/>
        </w:sectPr>
      </w:pPr>
    </w:p>
    <w:p w:rsidR="00710E94" w:rsidRDefault="00710E94" w:rsidP="00710E94">
      <w:pPr>
        <w:pStyle w:val="NoSpacing"/>
      </w:pPr>
    </w:p>
    <w:p w:rsidR="00710E94" w:rsidRPr="0099174B" w:rsidRDefault="00710E94" w:rsidP="00710E94">
      <w:pPr>
        <w:pStyle w:val="NoSpacing"/>
        <w:rPr>
          <w:rStyle w:val="Strong"/>
        </w:rPr>
      </w:pPr>
      <w:r w:rsidRPr="0099174B">
        <w:rPr>
          <w:rStyle w:val="Strong"/>
        </w:rPr>
        <w:t>Task Force Contributing Staff</w:t>
      </w: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pPr>
    </w:p>
    <w:p w:rsidR="00710E94" w:rsidRDefault="00710E94" w:rsidP="00710E94">
      <w:pPr>
        <w:pStyle w:val="NoSpacing"/>
        <w:sectPr w:rsidR="00710E94">
          <w:type w:val="continuous"/>
          <w:pgSz w:w="12240" w:h="15840"/>
          <w:pgMar w:top="1440" w:right="1440" w:bottom="1440" w:left="1440" w:header="720" w:footer="720" w:gutter="0"/>
          <w:cols w:space="720"/>
          <w:docGrid w:linePitch="360"/>
        </w:sectPr>
      </w:pPr>
    </w:p>
    <w:p w:rsidR="00710E94" w:rsidRDefault="00710E94" w:rsidP="00710E94">
      <w:pPr>
        <w:pStyle w:val="NoSpacing"/>
        <w:sectPr w:rsidR="00710E94">
          <w:type w:val="continuous"/>
          <w:pgSz w:w="12240" w:h="15840"/>
          <w:pgMar w:top="1440" w:right="1440" w:bottom="1440" w:left="1440" w:header="720" w:footer="720" w:gutter="0"/>
          <w:cols w:num="2" w:space="720"/>
          <w:docGrid w:linePitch="360"/>
        </w:sectPr>
      </w:pPr>
    </w:p>
    <w:p w:rsidR="00710E94" w:rsidRPr="0099174B" w:rsidRDefault="00710E94" w:rsidP="00710E94">
      <w:pPr>
        <w:rPr>
          <w:rStyle w:val="Strong"/>
        </w:rPr>
      </w:pPr>
      <w:r>
        <w:rPr>
          <w:rStyle w:val="Strong"/>
        </w:rPr>
        <w:lastRenderedPageBreak/>
        <w:t>Written by</w:t>
      </w:r>
    </w:p>
    <w:p w:rsidR="00710E94" w:rsidRDefault="00710E94" w:rsidP="00710E94">
      <w:pPr>
        <w:pStyle w:val="NoSpacing"/>
        <w:rPr>
          <w:sz w:val="20"/>
        </w:rPr>
      </w:pPr>
      <w:r w:rsidRPr="007B556E">
        <w:rPr>
          <w:sz w:val="20"/>
        </w:rPr>
        <w:t>Carl Spector</w:t>
      </w:r>
      <w:r>
        <w:rPr>
          <w:sz w:val="20"/>
        </w:rPr>
        <w:t xml:space="preserve"> &amp; </w:t>
      </w:r>
      <w:r w:rsidRPr="007B556E">
        <w:rPr>
          <w:sz w:val="20"/>
        </w:rPr>
        <w:t>Leah Bamberger</w:t>
      </w:r>
    </w:p>
    <w:p w:rsidR="00710E94" w:rsidRDefault="00710E94" w:rsidP="00710E94">
      <w:r>
        <w:br w:type="page"/>
      </w:r>
    </w:p>
    <w:p w:rsidR="00710E94" w:rsidRPr="007B556E" w:rsidRDefault="00710E94" w:rsidP="00710E94">
      <w:pPr>
        <w:pStyle w:val="NoSpacing"/>
        <w:rPr>
          <w:sz w:val="20"/>
        </w:rPr>
      </w:pPr>
    </w:p>
    <w:sdt>
      <w:sdtPr>
        <w:rPr>
          <w:smallCaps w:val="0"/>
          <w:spacing w:val="0"/>
          <w:sz w:val="22"/>
          <w:szCs w:val="22"/>
          <w:lang w:bidi="ar-SA"/>
        </w:rPr>
        <w:id w:val="-1019307334"/>
        <w:docPartObj>
          <w:docPartGallery w:val="Table of Contents"/>
          <w:docPartUnique/>
        </w:docPartObj>
      </w:sdtPr>
      <w:sdtEndPr>
        <w:rPr>
          <w:b/>
          <w:bCs/>
          <w:noProof/>
        </w:rPr>
      </w:sdtEndPr>
      <w:sdtContent>
        <w:p w:rsidR="00710E94" w:rsidRDefault="00710E94" w:rsidP="00710E94">
          <w:pPr>
            <w:pStyle w:val="TOCHeading"/>
          </w:pPr>
          <w:r>
            <w:t>Contents</w:t>
          </w:r>
        </w:p>
        <w:p w:rsidR="00710E94" w:rsidRDefault="00710E94" w:rsidP="00710E9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9268751" w:history="1">
            <w:r w:rsidRPr="00E76975">
              <w:rPr>
                <w:rStyle w:val="Hyperlink"/>
                <w:noProof/>
              </w:rPr>
              <w:t>Summary and Key Findings</w:t>
            </w:r>
            <w:r>
              <w:rPr>
                <w:noProof/>
                <w:webHidden/>
              </w:rPr>
              <w:tab/>
            </w:r>
            <w:r>
              <w:rPr>
                <w:noProof/>
                <w:webHidden/>
              </w:rPr>
              <w:fldChar w:fldCharType="begin"/>
            </w:r>
            <w:r>
              <w:rPr>
                <w:noProof/>
                <w:webHidden/>
              </w:rPr>
              <w:instrText xml:space="preserve"> PAGEREF _Toc369268751 \h </w:instrText>
            </w:r>
            <w:r>
              <w:rPr>
                <w:noProof/>
                <w:webHidden/>
              </w:rPr>
            </w:r>
            <w:r>
              <w:rPr>
                <w:noProof/>
                <w:webHidden/>
              </w:rPr>
              <w:fldChar w:fldCharType="separate"/>
            </w:r>
            <w:r>
              <w:rPr>
                <w:noProof/>
                <w:webHidden/>
              </w:rPr>
              <w:t>4</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52" w:history="1">
            <w:r w:rsidRPr="00E76975">
              <w:rPr>
                <w:rStyle w:val="Hyperlink"/>
                <w:noProof/>
              </w:rPr>
              <w:t>Introduction</w:t>
            </w:r>
            <w:r>
              <w:rPr>
                <w:noProof/>
                <w:webHidden/>
              </w:rPr>
              <w:tab/>
            </w:r>
            <w:r>
              <w:rPr>
                <w:noProof/>
                <w:webHidden/>
              </w:rPr>
              <w:fldChar w:fldCharType="begin"/>
            </w:r>
            <w:r>
              <w:rPr>
                <w:noProof/>
                <w:webHidden/>
              </w:rPr>
              <w:instrText xml:space="preserve"> PAGEREF _Toc369268752 \h </w:instrText>
            </w:r>
            <w:r>
              <w:rPr>
                <w:noProof/>
                <w:webHidden/>
              </w:rPr>
            </w:r>
            <w:r>
              <w:rPr>
                <w:noProof/>
                <w:webHidden/>
              </w:rPr>
              <w:fldChar w:fldCharType="separate"/>
            </w:r>
            <w:r>
              <w:rPr>
                <w:noProof/>
                <w:webHidden/>
              </w:rPr>
              <w:t>7</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53" w:history="1">
            <w:r w:rsidRPr="00E76975">
              <w:rPr>
                <w:rStyle w:val="Hyperlink"/>
                <w:noProof/>
              </w:rPr>
              <w:t>Climate Preparedness Task Force</w:t>
            </w:r>
            <w:r>
              <w:rPr>
                <w:noProof/>
                <w:webHidden/>
              </w:rPr>
              <w:tab/>
            </w:r>
            <w:r>
              <w:rPr>
                <w:noProof/>
                <w:webHidden/>
              </w:rPr>
              <w:fldChar w:fldCharType="begin"/>
            </w:r>
            <w:r>
              <w:rPr>
                <w:noProof/>
                <w:webHidden/>
              </w:rPr>
              <w:instrText xml:space="preserve"> PAGEREF _Toc369268753 \h </w:instrText>
            </w:r>
            <w:r>
              <w:rPr>
                <w:noProof/>
                <w:webHidden/>
              </w:rPr>
            </w:r>
            <w:r>
              <w:rPr>
                <w:noProof/>
                <w:webHidden/>
              </w:rPr>
              <w:fldChar w:fldCharType="separate"/>
            </w:r>
            <w:r>
              <w:rPr>
                <w:noProof/>
                <w:webHidden/>
              </w:rPr>
              <w:t>8</w:t>
            </w:r>
            <w:r>
              <w:rPr>
                <w:noProof/>
                <w:webHidden/>
              </w:rPr>
              <w:fldChar w:fldCharType="end"/>
            </w:r>
          </w:hyperlink>
        </w:p>
        <w:p w:rsidR="00710E94" w:rsidRDefault="00710E94" w:rsidP="00710E94">
          <w:pPr>
            <w:pStyle w:val="TOC3"/>
            <w:tabs>
              <w:tab w:val="right" w:leader="dot" w:pos="9350"/>
            </w:tabs>
            <w:rPr>
              <w:rFonts w:asciiTheme="minorHAnsi" w:eastAsiaTheme="minorEastAsia" w:hAnsiTheme="minorHAnsi" w:cstheme="minorBidi"/>
              <w:noProof/>
            </w:rPr>
          </w:pPr>
          <w:hyperlink w:anchor="_Toc369268754" w:history="1">
            <w:r w:rsidRPr="00E76975">
              <w:rPr>
                <w:rStyle w:val="Hyperlink"/>
                <w:noProof/>
              </w:rPr>
              <w:t>Effects of Climate Change</w:t>
            </w:r>
            <w:r>
              <w:rPr>
                <w:noProof/>
                <w:webHidden/>
              </w:rPr>
              <w:tab/>
            </w:r>
            <w:r>
              <w:rPr>
                <w:noProof/>
                <w:webHidden/>
              </w:rPr>
              <w:fldChar w:fldCharType="begin"/>
            </w:r>
            <w:r>
              <w:rPr>
                <w:noProof/>
                <w:webHidden/>
              </w:rPr>
              <w:instrText xml:space="preserve"> PAGEREF _Toc369268754 \h </w:instrText>
            </w:r>
            <w:r>
              <w:rPr>
                <w:noProof/>
                <w:webHidden/>
              </w:rPr>
            </w:r>
            <w:r>
              <w:rPr>
                <w:noProof/>
                <w:webHidden/>
              </w:rPr>
              <w:fldChar w:fldCharType="separate"/>
            </w:r>
            <w:r>
              <w:rPr>
                <w:noProof/>
                <w:webHidden/>
              </w:rPr>
              <w:t>8</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55" w:history="1">
            <w:r w:rsidRPr="00E76975">
              <w:rPr>
                <w:rStyle w:val="Hyperlink"/>
                <w:noProof/>
              </w:rPr>
              <w:t>Facilities and Capital Planning</w:t>
            </w:r>
            <w:r>
              <w:rPr>
                <w:noProof/>
                <w:webHidden/>
              </w:rPr>
              <w:tab/>
            </w:r>
            <w:r>
              <w:rPr>
                <w:noProof/>
                <w:webHidden/>
              </w:rPr>
              <w:fldChar w:fldCharType="begin"/>
            </w:r>
            <w:r>
              <w:rPr>
                <w:noProof/>
                <w:webHidden/>
              </w:rPr>
              <w:instrText xml:space="preserve"> PAGEREF _Toc369268755 \h </w:instrText>
            </w:r>
            <w:r>
              <w:rPr>
                <w:noProof/>
                <w:webHidden/>
              </w:rPr>
            </w:r>
            <w:r>
              <w:rPr>
                <w:noProof/>
                <w:webHidden/>
              </w:rPr>
              <w:fldChar w:fldCharType="separate"/>
            </w:r>
            <w:r>
              <w:rPr>
                <w:noProof/>
                <w:webHidden/>
              </w:rPr>
              <w:t>10</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56" w:history="1">
            <w:r w:rsidRPr="00E76975">
              <w:rPr>
                <w:rStyle w:val="Hyperlink"/>
                <w:noProof/>
              </w:rPr>
              <w:t>Schools and Community Centers</w:t>
            </w:r>
            <w:r>
              <w:rPr>
                <w:noProof/>
                <w:webHidden/>
              </w:rPr>
              <w:tab/>
            </w:r>
            <w:r>
              <w:rPr>
                <w:noProof/>
                <w:webHidden/>
              </w:rPr>
              <w:fldChar w:fldCharType="begin"/>
            </w:r>
            <w:r>
              <w:rPr>
                <w:noProof/>
                <w:webHidden/>
              </w:rPr>
              <w:instrText xml:space="preserve"> PAGEREF _Toc369268756 \h </w:instrText>
            </w:r>
            <w:r>
              <w:rPr>
                <w:noProof/>
                <w:webHidden/>
              </w:rPr>
            </w:r>
            <w:r>
              <w:rPr>
                <w:noProof/>
                <w:webHidden/>
              </w:rPr>
              <w:fldChar w:fldCharType="separate"/>
            </w:r>
            <w:r>
              <w:rPr>
                <w:noProof/>
                <w:webHidden/>
              </w:rPr>
              <w:t>10</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57" w:history="1">
            <w:r w:rsidRPr="00E76975">
              <w:rPr>
                <w:rStyle w:val="Hyperlink"/>
                <w:noProof/>
              </w:rPr>
              <w:t>Police and Fire Stations</w:t>
            </w:r>
            <w:r>
              <w:rPr>
                <w:noProof/>
                <w:webHidden/>
              </w:rPr>
              <w:tab/>
            </w:r>
            <w:r>
              <w:rPr>
                <w:noProof/>
                <w:webHidden/>
              </w:rPr>
              <w:fldChar w:fldCharType="begin"/>
            </w:r>
            <w:r>
              <w:rPr>
                <w:noProof/>
                <w:webHidden/>
              </w:rPr>
              <w:instrText xml:space="preserve"> PAGEREF _Toc369268757 \h </w:instrText>
            </w:r>
            <w:r>
              <w:rPr>
                <w:noProof/>
                <w:webHidden/>
              </w:rPr>
            </w:r>
            <w:r>
              <w:rPr>
                <w:noProof/>
                <w:webHidden/>
              </w:rPr>
              <w:fldChar w:fldCharType="separate"/>
            </w:r>
            <w:r>
              <w:rPr>
                <w:noProof/>
                <w:webHidden/>
              </w:rPr>
              <w:t>12</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58" w:history="1">
            <w:r w:rsidRPr="00E76975">
              <w:rPr>
                <w:rStyle w:val="Hyperlink"/>
                <w:noProof/>
              </w:rPr>
              <w:t>Public Housing and Other Property</w:t>
            </w:r>
            <w:r>
              <w:rPr>
                <w:noProof/>
                <w:webHidden/>
              </w:rPr>
              <w:tab/>
            </w:r>
            <w:r>
              <w:rPr>
                <w:noProof/>
                <w:webHidden/>
              </w:rPr>
              <w:fldChar w:fldCharType="begin"/>
            </w:r>
            <w:r>
              <w:rPr>
                <w:noProof/>
                <w:webHidden/>
              </w:rPr>
              <w:instrText xml:space="preserve"> PAGEREF _Toc369268758 \h </w:instrText>
            </w:r>
            <w:r>
              <w:rPr>
                <w:noProof/>
                <w:webHidden/>
              </w:rPr>
            </w:r>
            <w:r>
              <w:rPr>
                <w:noProof/>
                <w:webHidden/>
              </w:rPr>
              <w:fldChar w:fldCharType="separate"/>
            </w:r>
            <w:r>
              <w:rPr>
                <w:noProof/>
                <w:webHidden/>
              </w:rPr>
              <w:t>12</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59" w:history="1">
            <w:r w:rsidRPr="00E76975">
              <w:rPr>
                <w:rStyle w:val="Hyperlink"/>
                <w:noProof/>
              </w:rPr>
              <w:t>General Municipal Buildings</w:t>
            </w:r>
            <w:r>
              <w:rPr>
                <w:noProof/>
                <w:webHidden/>
              </w:rPr>
              <w:tab/>
            </w:r>
            <w:r>
              <w:rPr>
                <w:noProof/>
                <w:webHidden/>
              </w:rPr>
              <w:fldChar w:fldCharType="begin"/>
            </w:r>
            <w:r>
              <w:rPr>
                <w:noProof/>
                <w:webHidden/>
              </w:rPr>
              <w:instrText xml:space="preserve"> PAGEREF _Toc369268759 \h </w:instrText>
            </w:r>
            <w:r>
              <w:rPr>
                <w:noProof/>
                <w:webHidden/>
              </w:rPr>
            </w:r>
            <w:r>
              <w:rPr>
                <w:noProof/>
                <w:webHidden/>
              </w:rPr>
              <w:fldChar w:fldCharType="separate"/>
            </w:r>
            <w:r>
              <w:rPr>
                <w:noProof/>
                <w:webHidden/>
              </w:rPr>
              <w:t>13</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60" w:history="1">
            <w:r w:rsidRPr="00E76975">
              <w:rPr>
                <w:rStyle w:val="Hyperlink"/>
                <w:noProof/>
              </w:rPr>
              <w:t>Capital Planning and Insurance</w:t>
            </w:r>
            <w:r>
              <w:rPr>
                <w:noProof/>
                <w:webHidden/>
              </w:rPr>
              <w:tab/>
            </w:r>
            <w:r>
              <w:rPr>
                <w:noProof/>
                <w:webHidden/>
              </w:rPr>
              <w:fldChar w:fldCharType="begin"/>
            </w:r>
            <w:r>
              <w:rPr>
                <w:noProof/>
                <w:webHidden/>
              </w:rPr>
              <w:instrText xml:space="preserve"> PAGEREF _Toc369268760 \h </w:instrText>
            </w:r>
            <w:r>
              <w:rPr>
                <w:noProof/>
                <w:webHidden/>
              </w:rPr>
            </w:r>
            <w:r>
              <w:rPr>
                <w:noProof/>
                <w:webHidden/>
              </w:rPr>
              <w:fldChar w:fldCharType="separate"/>
            </w:r>
            <w:r>
              <w:rPr>
                <w:noProof/>
                <w:webHidden/>
              </w:rPr>
              <w:t>13</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61" w:history="1">
            <w:r w:rsidRPr="00E76975">
              <w:rPr>
                <w:rStyle w:val="Hyperlink"/>
                <w:noProof/>
              </w:rPr>
              <w:t>Transportation and Water Infrastructure</w:t>
            </w:r>
            <w:r>
              <w:rPr>
                <w:noProof/>
                <w:webHidden/>
              </w:rPr>
              <w:tab/>
            </w:r>
            <w:r>
              <w:rPr>
                <w:noProof/>
                <w:webHidden/>
              </w:rPr>
              <w:fldChar w:fldCharType="begin"/>
            </w:r>
            <w:r>
              <w:rPr>
                <w:noProof/>
                <w:webHidden/>
              </w:rPr>
              <w:instrText xml:space="preserve"> PAGEREF _Toc369268761 \h </w:instrText>
            </w:r>
            <w:r>
              <w:rPr>
                <w:noProof/>
                <w:webHidden/>
              </w:rPr>
            </w:r>
            <w:r>
              <w:rPr>
                <w:noProof/>
                <w:webHidden/>
              </w:rPr>
              <w:fldChar w:fldCharType="separate"/>
            </w:r>
            <w:r>
              <w:rPr>
                <w:noProof/>
                <w:webHidden/>
              </w:rPr>
              <w:t>14</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62" w:history="1">
            <w:r w:rsidRPr="00E76975">
              <w:rPr>
                <w:rStyle w:val="Hyperlink"/>
                <w:noProof/>
              </w:rPr>
              <w:t>Transportation</w:t>
            </w:r>
            <w:r>
              <w:rPr>
                <w:noProof/>
                <w:webHidden/>
              </w:rPr>
              <w:tab/>
            </w:r>
            <w:r>
              <w:rPr>
                <w:noProof/>
                <w:webHidden/>
              </w:rPr>
              <w:fldChar w:fldCharType="begin"/>
            </w:r>
            <w:r>
              <w:rPr>
                <w:noProof/>
                <w:webHidden/>
              </w:rPr>
              <w:instrText xml:space="preserve"> PAGEREF _Toc369268762 \h </w:instrText>
            </w:r>
            <w:r>
              <w:rPr>
                <w:noProof/>
                <w:webHidden/>
              </w:rPr>
            </w:r>
            <w:r>
              <w:rPr>
                <w:noProof/>
                <w:webHidden/>
              </w:rPr>
              <w:fldChar w:fldCharType="separate"/>
            </w:r>
            <w:r>
              <w:rPr>
                <w:noProof/>
                <w:webHidden/>
              </w:rPr>
              <w:t>14</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63" w:history="1">
            <w:r w:rsidRPr="00E76975">
              <w:rPr>
                <w:rStyle w:val="Hyperlink"/>
                <w:noProof/>
              </w:rPr>
              <w:t>City Coordination with Other Transportation Authorities</w:t>
            </w:r>
            <w:r>
              <w:rPr>
                <w:noProof/>
                <w:webHidden/>
              </w:rPr>
              <w:tab/>
            </w:r>
            <w:r>
              <w:rPr>
                <w:noProof/>
                <w:webHidden/>
              </w:rPr>
              <w:fldChar w:fldCharType="begin"/>
            </w:r>
            <w:r>
              <w:rPr>
                <w:noProof/>
                <w:webHidden/>
              </w:rPr>
              <w:instrText xml:space="preserve"> PAGEREF _Toc369268763 \h </w:instrText>
            </w:r>
            <w:r>
              <w:rPr>
                <w:noProof/>
                <w:webHidden/>
              </w:rPr>
            </w:r>
            <w:r>
              <w:rPr>
                <w:noProof/>
                <w:webHidden/>
              </w:rPr>
              <w:fldChar w:fldCharType="separate"/>
            </w:r>
            <w:r>
              <w:rPr>
                <w:noProof/>
                <w:webHidden/>
              </w:rPr>
              <w:t>16</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64" w:history="1">
            <w:r w:rsidRPr="00E76975">
              <w:rPr>
                <w:rStyle w:val="Hyperlink"/>
                <w:noProof/>
              </w:rPr>
              <w:t>Water and Sewer</w:t>
            </w:r>
            <w:r>
              <w:rPr>
                <w:noProof/>
                <w:webHidden/>
              </w:rPr>
              <w:tab/>
            </w:r>
            <w:r>
              <w:rPr>
                <w:noProof/>
                <w:webHidden/>
              </w:rPr>
              <w:fldChar w:fldCharType="begin"/>
            </w:r>
            <w:r>
              <w:rPr>
                <w:noProof/>
                <w:webHidden/>
              </w:rPr>
              <w:instrText xml:space="preserve"> PAGEREF _Toc369268764 \h </w:instrText>
            </w:r>
            <w:r>
              <w:rPr>
                <w:noProof/>
                <w:webHidden/>
              </w:rPr>
            </w:r>
            <w:r>
              <w:rPr>
                <w:noProof/>
                <w:webHidden/>
              </w:rPr>
              <w:fldChar w:fldCharType="separate"/>
            </w:r>
            <w:r>
              <w:rPr>
                <w:noProof/>
                <w:webHidden/>
              </w:rPr>
              <w:t>16</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65" w:history="1">
            <w:r w:rsidRPr="00E76975">
              <w:rPr>
                <w:rStyle w:val="Hyperlink"/>
                <w:noProof/>
              </w:rPr>
              <w:t>Neighborhoods</w:t>
            </w:r>
            <w:r>
              <w:rPr>
                <w:noProof/>
                <w:webHidden/>
              </w:rPr>
              <w:tab/>
            </w:r>
            <w:r>
              <w:rPr>
                <w:noProof/>
                <w:webHidden/>
              </w:rPr>
              <w:fldChar w:fldCharType="begin"/>
            </w:r>
            <w:r>
              <w:rPr>
                <w:noProof/>
                <w:webHidden/>
              </w:rPr>
              <w:instrText xml:space="preserve"> PAGEREF _Toc369268765 \h </w:instrText>
            </w:r>
            <w:r>
              <w:rPr>
                <w:noProof/>
                <w:webHidden/>
              </w:rPr>
            </w:r>
            <w:r>
              <w:rPr>
                <w:noProof/>
                <w:webHidden/>
              </w:rPr>
              <w:fldChar w:fldCharType="separate"/>
            </w:r>
            <w:r>
              <w:rPr>
                <w:noProof/>
                <w:webHidden/>
              </w:rPr>
              <w:t>17</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66" w:history="1">
            <w:r w:rsidRPr="00E76975">
              <w:rPr>
                <w:rStyle w:val="Hyperlink"/>
                <w:noProof/>
              </w:rPr>
              <w:t>Historic Preservation</w:t>
            </w:r>
            <w:r>
              <w:rPr>
                <w:noProof/>
                <w:webHidden/>
              </w:rPr>
              <w:tab/>
            </w:r>
            <w:r>
              <w:rPr>
                <w:noProof/>
                <w:webHidden/>
              </w:rPr>
              <w:fldChar w:fldCharType="begin"/>
            </w:r>
            <w:r>
              <w:rPr>
                <w:noProof/>
                <w:webHidden/>
              </w:rPr>
              <w:instrText xml:space="preserve"> PAGEREF _Toc369268766 \h </w:instrText>
            </w:r>
            <w:r>
              <w:rPr>
                <w:noProof/>
                <w:webHidden/>
              </w:rPr>
            </w:r>
            <w:r>
              <w:rPr>
                <w:noProof/>
                <w:webHidden/>
              </w:rPr>
              <w:fldChar w:fldCharType="separate"/>
            </w:r>
            <w:r>
              <w:rPr>
                <w:noProof/>
                <w:webHidden/>
              </w:rPr>
              <w:t>17</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67" w:history="1">
            <w:r w:rsidRPr="00E76975">
              <w:rPr>
                <w:rStyle w:val="Hyperlink"/>
                <w:noProof/>
              </w:rPr>
              <w:t>Parks, Open Space, and the Urban Forest</w:t>
            </w:r>
            <w:r>
              <w:rPr>
                <w:noProof/>
                <w:webHidden/>
              </w:rPr>
              <w:tab/>
            </w:r>
            <w:r>
              <w:rPr>
                <w:noProof/>
                <w:webHidden/>
              </w:rPr>
              <w:fldChar w:fldCharType="begin"/>
            </w:r>
            <w:r>
              <w:rPr>
                <w:noProof/>
                <w:webHidden/>
              </w:rPr>
              <w:instrText xml:space="preserve"> PAGEREF _Toc369268767 \h </w:instrText>
            </w:r>
            <w:r>
              <w:rPr>
                <w:noProof/>
                <w:webHidden/>
              </w:rPr>
            </w:r>
            <w:r>
              <w:rPr>
                <w:noProof/>
                <w:webHidden/>
              </w:rPr>
              <w:fldChar w:fldCharType="separate"/>
            </w:r>
            <w:r>
              <w:rPr>
                <w:noProof/>
                <w:webHidden/>
              </w:rPr>
              <w:t>17</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68" w:history="1">
            <w:r w:rsidRPr="00E76975">
              <w:rPr>
                <w:rStyle w:val="Hyperlink"/>
                <w:noProof/>
              </w:rPr>
              <w:t>Public Health and Heat</w:t>
            </w:r>
            <w:r>
              <w:rPr>
                <w:noProof/>
                <w:webHidden/>
              </w:rPr>
              <w:tab/>
            </w:r>
            <w:r>
              <w:rPr>
                <w:noProof/>
                <w:webHidden/>
              </w:rPr>
              <w:fldChar w:fldCharType="begin"/>
            </w:r>
            <w:r>
              <w:rPr>
                <w:noProof/>
                <w:webHidden/>
              </w:rPr>
              <w:instrText xml:space="preserve"> PAGEREF _Toc369268768 \h </w:instrText>
            </w:r>
            <w:r>
              <w:rPr>
                <w:noProof/>
                <w:webHidden/>
              </w:rPr>
            </w:r>
            <w:r>
              <w:rPr>
                <w:noProof/>
                <w:webHidden/>
              </w:rPr>
              <w:fldChar w:fldCharType="separate"/>
            </w:r>
            <w:r>
              <w:rPr>
                <w:noProof/>
                <w:webHidden/>
              </w:rPr>
              <w:t>19</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69" w:history="1">
            <w:r w:rsidRPr="00E76975">
              <w:rPr>
                <w:rStyle w:val="Hyperlink"/>
                <w:noProof/>
              </w:rPr>
              <w:t>Public Safety and Emergency Preparedness</w:t>
            </w:r>
            <w:r>
              <w:rPr>
                <w:noProof/>
                <w:webHidden/>
              </w:rPr>
              <w:tab/>
            </w:r>
            <w:r>
              <w:rPr>
                <w:noProof/>
                <w:webHidden/>
              </w:rPr>
              <w:fldChar w:fldCharType="begin"/>
            </w:r>
            <w:r>
              <w:rPr>
                <w:noProof/>
                <w:webHidden/>
              </w:rPr>
              <w:instrText xml:space="preserve"> PAGEREF _Toc369268769 \h </w:instrText>
            </w:r>
            <w:r>
              <w:rPr>
                <w:noProof/>
                <w:webHidden/>
              </w:rPr>
            </w:r>
            <w:r>
              <w:rPr>
                <w:noProof/>
                <w:webHidden/>
              </w:rPr>
              <w:fldChar w:fldCharType="separate"/>
            </w:r>
            <w:r>
              <w:rPr>
                <w:noProof/>
                <w:webHidden/>
              </w:rPr>
              <w:t>19</w:t>
            </w:r>
            <w:r>
              <w:rPr>
                <w:noProof/>
                <w:webHidden/>
              </w:rPr>
              <w:fldChar w:fldCharType="end"/>
            </w:r>
          </w:hyperlink>
        </w:p>
        <w:p w:rsidR="00710E94" w:rsidRDefault="00710E94" w:rsidP="00710E94">
          <w:pPr>
            <w:pStyle w:val="TOC1"/>
            <w:tabs>
              <w:tab w:val="right" w:leader="dot" w:pos="9350"/>
            </w:tabs>
            <w:rPr>
              <w:rFonts w:asciiTheme="minorHAnsi" w:eastAsiaTheme="minorEastAsia" w:hAnsiTheme="minorHAnsi" w:cstheme="minorBidi"/>
              <w:noProof/>
            </w:rPr>
          </w:pPr>
          <w:hyperlink w:anchor="_Toc369268770" w:history="1">
            <w:r w:rsidRPr="00E76975">
              <w:rPr>
                <w:rStyle w:val="Hyperlink"/>
                <w:noProof/>
              </w:rPr>
              <w:t>State and Federal Coordination</w:t>
            </w:r>
            <w:r>
              <w:rPr>
                <w:noProof/>
                <w:webHidden/>
              </w:rPr>
              <w:tab/>
            </w:r>
            <w:r>
              <w:rPr>
                <w:noProof/>
                <w:webHidden/>
              </w:rPr>
              <w:fldChar w:fldCharType="begin"/>
            </w:r>
            <w:r>
              <w:rPr>
                <w:noProof/>
                <w:webHidden/>
              </w:rPr>
              <w:instrText xml:space="preserve"> PAGEREF _Toc369268770 \h </w:instrText>
            </w:r>
            <w:r>
              <w:rPr>
                <w:noProof/>
                <w:webHidden/>
              </w:rPr>
            </w:r>
            <w:r>
              <w:rPr>
                <w:noProof/>
                <w:webHidden/>
              </w:rPr>
              <w:fldChar w:fldCharType="separate"/>
            </w:r>
            <w:r>
              <w:rPr>
                <w:noProof/>
                <w:webHidden/>
              </w:rPr>
              <w:t>22</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71" w:history="1">
            <w:r w:rsidRPr="00E76975">
              <w:rPr>
                <w:rStyle w:val="Hyperlink"/>
                <w:noProof/>
              </w:rPr>
              <w:t>Major Infrastructure not under City Jurisdiction</w:t>
            </w:r>
            <w:r>
              <w:rPr>
                <w:noProof/>
                <w:webHidden/>
              </w:rPr>
              <w:tab/>
            </w:r>
            <w:r>
              <w:rPr>
                <w:noProof/>
                <w:webHidden/>
              </w:rPr>
              <w:fldChar w:fldCharType="begin"/>
            </w:r>
            <w:r>
              <w:rPr>
                <w:noProof/>
                <w:webHidden/>
              </w:rPr>
              <w:instrText xml:space="preserve"> PAGEREF _Toc369268771 \h </w:instrText>
            </w:r>
            <w:r>
              <w:rPr>
                <w:noProof/>
                <w:webHidden/>
              </w:rPr>
            </w:r>
            <w:r>
              <w:rPr>
                <w:noProof/>
                <w:webHidden/>
              </w:rPr>
              <w:fldChar w:fldCharType="separate"/>
            </w:r>
            <w:r>
              <w:rPr>
                <w:noProof/>
                <w:webHidden/>
              </w:rPr>
              <w:t>22</w:t>
            </w:r>
            <w:r>
              <w:rPr>
                <w:noProof/>
                <w:webHidden/>
              </w:rPr>
              <w:fldChar w:fldCharType="end"/>
            </w:r>
          </w:hyperlink>
        </w:p>
        <w:p w:rsidR="00710E94" w:rsidRDefault="00710E94" w:rsidP="00710E94">
          <w:pPr>
            <w:pStyle w:val="TOC2"/>
            <w:tabs>
              <w:tab w:val="right" w:leader="dot" w:pos="9350"/>
            </w:tabs>
            <w:rPr>
              <w:rFonts w:asciiTheme="minorHAnsi" w:eastAsiaTheme="minorEastAsia" w:hAnsiTheme="minorHAnsi" w:cstheme="minorBidi"/>
              <w:noProof/>
            </w:rPr>
          </w:pPr>
          <w:hyperlink w:anchor="_Toc369268772" w:history="1">
            <w:r w:rsidRPr="00E76975">
              <w:rPr>
                <w:rStyle w:val="Hyperlink"/>
                <w:noProof/>
              </w:rPr>
              <w:t>Need for Operational Coordination</w:t>
            </w:r>
            <w:r>
              <w:rPr>
                <w:noProof/>
                <w:webHidden/>
              </w:rPr>
              <w:tab/>
            </w:r>
            <w:r>
              <w:rPr>
                <w:noProof/>
                <w:webHidden/>
              </w:rPr>
              <w:fldChar w:fldCharType="begin"/>
            </w:r>
            <w:r>
              <w:rPr>
                <w:noProof/>
                <w:webHidden/>
              </w:rPr>
              <w:instrText xml:space="preserve"> PAGEREF _Toc369268772 \h </w:instrText>
            </w:r>
            <w:r>
              <w:rPr>
                <w:noProof/>
                <w:webHidden/>
              </w:rPr>
            </w:r>
            <w:r>
              <w:rPr>
                <w:noProof/>
                <w:webHidden/>
              </w:rPr>
              <w:fldChar w:fldCharType="separate"/>
            </w:r>
            <w:r>
              <w:rPr>
                <w:noProof/>
                <w:webHidden/>
              </w:rPr>
              <w:t>22</w:t>
            </w:r>
            <w:r>
              <w:rPr>
                <w:noProof/>
                <w:webHidden/>
              </w:rPr>
              <w:fldChar w:fldCharType="end"/>
            </w:r>
          </w:hyperlink>
        </w:p>
        <w:p w:rsidR="00710E94" w:rsidRDefault="00710E94" w:rsidP="00710E94">
          <w:pPr>
            <w:rPr>
              <w:b/>
              <w:bCs/>
              <w:noProof/>
            </w:rPr>
          </w:pPr>
          <w:r>
            <w:rPr>
              <w:b/>
              <w:bCs/>
              <w:noProof/>
            </w:rPr>
            <w:fldChar w:fldCharType="end"/>
          </w:r>
        </w:p>
      </w:sdtContent>
    </w:sdt>
    <w:p w:rsidR="00710E94" w:rsidRDefault="00710E94" w:rsidP="00710E94">
      <w:pPr>
        <w:pStyle w:val="Heading1"/>
      </w:pPr>
      <w:r>
        <w:br w:type="page"/>
      </w:r>
    </w:p>
    <w:p w:rsidR="00710E94" w:rsidRDefault="00710E94" w:rsidP="00710E94">
      <w:pPr>
        <w:pStyle w:val="Heading1"/>
      </w:pPr>
      <w:bookmarkStart w:id="0" w:name="_Toc369268751"/>
      <w:r>
        <w:lastRenderedPageBreak/>
        <w:t>Summary and Key Findings</w:t>
      </w:r>
      <w:bookmarkEnd w:id="0"/>
    </w:p>
    <w:p w:rsidR="00710E94" w:rsidRDefault="00710E94" w:rsidP="00710E94">
      <w:r>
        <w:t xml:space="preserve">In the past 12 months, </w:t>
      </w:r>
      <w:proofErr w:type="spellStart"/>
      <w:r>
        <w:t>Superstorm</w:t>
      </w:r>
      <w:proofErr w:type="spellEnd"/>
      <w:r>
        <w:t xml:space="preserve"> Sandy, nor'easter </w:t>
      </w:r>
      <w:proofErr w:type="spellStart"/>
      <w:r>
        <w:t>Nemo</w:t>
      </w:r>
      <w:proofErr w:type="spellEnd"/>
      <w:r>
        <w:t xml:space="preserve">, and this summer's three heat waves have reminded Bostonians of our vulnerability to natural forces.  As the climate changes Boston will become more vulnerable to these types of events. Sea-level rise, rising temperatures, and more intense storms will increase the vulnerability of all parts and sectors of the city. That is why the City of Boston is taking steps to prepare for climate change and make Boston the most resilient city in the country.  </w:t>
      </w:r>
    </w:p>
    <w:p w:rsidR="00710E94" w:rsidRDefault="00710E94" w:rsidP="00710E94">
      <w:r>
        <w:t xml:space="preserve">Building on initiatives dating back to his 2007 executive order on climate action, Mayor </w:t>
      </w:r>
      <w:proofErr w:type="spellStart"/>
      <w:r>
        <w:t>Menino</w:t>
      </w:r>
      <w:proofErr w:type="spellEnd"/>
      <w:r>
        <w:t xml:space="preserve">, in February 2013, directed his cabinet to form a Climate Preparedness Task Force to assess the vulnerability of municipal facilities, operations, services, and policies in light of climate change and to recommend next steps to better understand and reduce that vulnerability. To complete this task, City Hall staff relied on local projections of the effects of climate change in Boston and their considerable internal knowledge of the City's assets, programs, and constituents. The Task Force did not undertake a community-wide vulnerability assessment, but the 2014 update of Boston’s Climate Action Plan will have climate preparedness as its primary focus.  </w:t>
      </w:r>
    </w:p>
    <w:p w:rsidR="00710E94" w:rsidRDefault="00710E94" w:rsidP="00710E94">
      <w:r>
        <w:t>Climate preparedness is a long-term responsibility; many City departments have made good starts. The Boston Water and Sewer Commission is two-thirds through a capital planning process for the city's sewer and storm water system that will determine how the Commission will ensure that its infrastructure is ready for sea-level rise and more intense precipitation</w:t>
      </w:r>
      <w:r w:rsidRPr="004400C6">
        <w:t xml:space="preserve"> </w:t>
      </w:r>
      <w:r>
        <w:t>over the next 25 years. The Office of Emergency Management has incorporated many climate concerns into the City's updated Natural Hazards Mitigation Plan, currently in draft form. As the Mayor directed last February, the Boston Redevelopment Authority is examining the climate preparedness of new large projects so that anything constructed in Boston today will be ready for conditions of the future.</w:t>
      </w:r>
    </w:p>
    <w:p w:rsidR="00710E94" w:rsidRDefault="00710E94" w:rsidP="00710E94">
      <w:r>
        <w:t xml:space="preserve">The departmental assessments included in the appendix detail the next steps to better understand and reduce the vulnerability of individual buildings to flood or heat, maintain or increase the level of service that the City provides, and increase </w:t>
      </w:r>
      <w:proofErr w:type="gramStart"/>
      <w:r>
        <w:t>its</w:t>
      </w:r>
      <w:proofErr w:type="gramEnd"/>
      <w:r>
        <w:t xml:space="preserve"> safeguarding of health and safety as the climate changes. Based on these specific evaluations, the Task Force has five key findings.</w:t>
      </w:r>
    </w:p>
    <w:p w:rsidR="00710E94" w:rsidRDefault="00710E94" w:rsidP="00710E94">
      <w:r>
        <w:rPr>
          <w:i/>
        </w:rPr>
        <w:t>Climate preparedness must be an important and explicit criterion in the City’s capital planning.</w:t>
      </w:r>
    </w:p>
    <w:p w:rsidR="00710E94" w:rsidRDefault="00710E94" w:rsidP="00710E94">
      <w:pPr>
        <w:autoSpaceDE w:val="0"/>
      </w:pPr>
      <w:r>
        <w:t>The City of Boston and its agencies are Boston’s largest property owners with approximately 16 million square feet of property in 300 buildings. As many departments noted, the construction of new buildings and the repair and renovation of existing ones are critical opportunities for increasing preparedness. Possible measures include</w:t>
      </w:r>
      <w:r w:rsidDel="00C86073">
        <w:t xml:space="preserve"> </w:t>
      </w:r>
      <w:r>
        <w:t xml:space="preserve">increased flood-proofing; elevating sensitive equipment, such as electrical equipment; installing or increasing cooling capacity; and, in some cases, in the long-term, relocating buildings to less vulnerable areas. These considerations should also apply to vehicles to ensure, for example, that the City has the best vehicle fleet to cope with emergencies. Individual departments are best equipped to determine their priorities; however, on a City-wide basis, a climate preparedness analysis should be part of every capital decision. </w:t>
      </w:r>
    </w:p>
    <w:p w:rsidR="00710E94" w:rsidRDefault="00710E94" w:rsidP="00710E94">
      <w:pPr>
        <w:autoSpaceDE w:val="0"/>
        <w:rPr>
          <w:rFonts w:cs="Times New Roman"/>
        </w:rPr>
      </w:pPr>
      <w:r>
        <w:rPr>
          <w:rFonts w:cs="Times New Roman"/>
          <w:i/>
        </w:rPr>
        <w:t>IT infrastructure on the first floor of City Hall and the facilities at Frontage Road require particular attention.</w:t>
      </w:r>
    </w:p>
    <w:p w:rsidR="00710E94" w:rsidRDefault="00710E94" w:rsidP="00710E94">
      <w:pPr>
        <w:autoSpaceDE w:val="0"/>
        <w:rPr>
          <w:rFonts w:cs="Times New Roman"/>
        </w:rPr>
      </w:pPr>
      <w:r>
        <w:rPr>
          <w:rFonts w:cs="Times New Roman"/>
        </w:rPr>
        <w:lastRenderedPageBreak/>
        <w:t>Most of City Hall is well above projected levels of flooding for the rest of the century, but the first floor is not. The Department of Innovation and Technology (</w:t>
      </w:r>
      <w:proofErr w:type="spellStart"/>
      <w:r>
        <w:rPr>
          <w:rFonts w:cs="Times New Roman"/>
        </w:rPr>
        <w:t>DoIT</w:t>
      </w:r>
      <w:proofErr w:type="spellEnd"/>
      <w:r>
        <w:rPr>
          <w:rFonts w:cs="Times New Roman"/>
        </w:rPr>
        <w:t>) identified a variety of digital and communications infrastructure located on the first floor as a high-priority vulnerability; and many other departments identify their reliance on this infrastructure for the their core operations as a high concern. Changes to the building and to the IT hardware and software systems may be necessary to eliminate this as a concern going forward.</w:t>
      </w:r>
    </w:p>
    <w:p w:rsidR="00710E94" w:rsidRDefault="00710E94" w:rsidP="00710E94">
      <w:pPr>
        <w:autoSpaceDE w:val="0"/>
        <w:rPr>
          <w:rFonts w:cs="Times New Roman"/>
        </w:rPr>
      </w:pPr>
      <w:r>
        <w:rPr>
          <w:rFonts w:cs="Times New Roman"/>
        </w:rPr>
        <w:t xml:space="preserve">The Frontage Road facilities serve as the major hub for vehicles and off-road equipment for many departments, including Public Works and Transportation. Moreover, it is already prone to flooding. Both short-term and long-term vulnerability need to be addressed. </w:t>
      </w:r>
    </w:p>
    <w:p w:rsidR="00710E94" w:rsidRDefault="00710E94" w:rsidP="00710E94">
      <w:pPr>
        <w:autoSpaceDE w:val="0"/>
        <w:rPr>
          <w:rFonts w:cs="Times New Roman"/>
        </w:rPr>
      </w:pPr>
      <w:r>
        <w:rPr>
          <w:rFonts w:cs="Times New Roman"/>
          <w:i/>
        </w:rPr>
        <w:t>The effects of rising temperatures should be a high priority.</w:t>
      </w:r>
    </w:p>
    <w:p w:rsidR="00710E94" w:rsidRDefault="00710E94" w:rsidP="00710E94">
      <w:pPr>
        <w:autoSpaceDE w:val="0"/>
        <w:rPr>
          <w:rFonts w:cs="Times New Roman"/>
        </w:rPr>
      </w:pPr>
      <w:r>
        <w:rPr>
          <w:rFonts w:cs="Times New Roman"/>
        </w:rPr>
        <w:t xml:space="preserve">Discussions of climate preparedness in Boston usually turn first to sea-level rise and coastal flooding. However, excessive heat can be just as—or more—deadly than a flood. Those who are vulnerable include: the poor and elderly who may not have air-conditioning, and the homeless; Parks or Public Works personnel—as well as employees of private businesses—who must work outside; attendees at summer festivals and other events. Fortunately, the City has many tools available at a relatively low cost to address these risks including: improving and expanding the capacity of its cooling-center system; revisiting operational procedures to ensure worker safety; requiring event organizers to provide spray-mist fans and more drinking water; and aggressively continuing Grow Boston </w:t>
      </w:r>
      <w:proofErr w:type="spellStart"/>
      <w:r>
        <w:rPr>
          <w:rFonts w:cs="Times New Roman"/>
        </w:rPr>
        <w:t>Greener’s</w:t>
      </w:r>
      <w:proofErr w:type="spellEnd"/>
      <w:r>
        <w:rPr>
          <w:rFonts w:cs="Times New Roman"/>
        </w:rPr>
        <w:t xml:space="preserve"> tree-planting program. Grow Boston Greener is an example of a preparedness measure with multiple benefits; in addition to helping cool the city, it improves </w:t>
      </w:r>
      <w:proofErr w:type="spellStart"/>
      <w:r>
        <w:rPr>
          <w:rFonts w:cs="Times New Roman"/>
        </w:rPr>
        <w:t>stormwater</w:t>
      </w:r>
      <w:proofErr w:type="spellEnd"/>
      <w:r>
        <w:rPr>
          <w:rFonts w:cs="Times New Roman"/>
        </w:rPr>
        <w:t xml:space="preserve"> management, and beautifies neighborhoods.</w:t>
      </w:r>
    </w:p>
    <w:p w:rsidR="00710E94" w:rsidRDefault="00710E94" w:rsidP="00710E94">
      <w:pPr>
        <w:autoSpaceDE w:val="0"/>
        <w:rPr>
          <w:rFonts w:cs="Times New Roman"/>
        </w:rPr>
      </w:pPr>
      <w:r>
        <w:rPr>
          <w:rFonts w:cs="Times New Roman"/>
          <w:i/>
        </w:rPr>
        <w:t>Municipal emergency plans should be reviewed in light of the expanded risks posed by climate change.</w:t>
      </w:r>
    </w:p>
    <w:p w:rsidR="00710E94" w:rsidRDefault="00710E94" w:rsidP="00710E94">
      <w:pPr>
        <w:autoSpaceDE w:val="0"/>
        <w:rPr>
          <w:rFonts w:cs="Times New Roman"/>
        </w:rPr>
      </w:pPr>
      <w:r>
        <w:rPr>
          <w:rFonts w:cs="Times New Roman"/>
        </w:rPr>
        <w:t>Many departments recognized their continuity of operations plans (</w:t>
      </w:r>
      <w:proofErr w:type="spellStart"/>
      <w:r>
        <w:rPr>
          <w:rFonts w:cs="Times New Roman"/>
        </w:rPr>
        <w:t>CoOPs</w:t>
      </w:r>
      <w:proofErr w:type="spellEnd"/>
      <w:r>
        <w:rPr>
          <w:rFonts w:cs="Times New Roman"/>
        </w:rPr>
        <w:t xml:space="preserve">), which every department is responsible for updating annually, as the appropriate mechanism for improving their ability to fulfill their core responsibilities during emergencies. The Office of Emergency Management (OEM), which is responsible for overseeing these plans, helps departments refine their plans and ensure that they are sufficient to meet the increasing risks from climate change. It may be particularly important to examine systemic effects—for example, if a department located in City Hall has designated 1010 Massachusetts Avenue as a secondary location, 1010 Mass. Ave. may not be operational as well. City departments and OEM should undertake an in-depth updating of all </w:t>
      </w:r>
      <w:proofErr w:type="spellStart"/>
      <w:r>
        <w:rPr>
          <w:rFonts w:cs="Times New Roman"/>
        </w:rPr>
        <w:t>CoOPs</w:t>
      </w:r>
      <w:proofErr w:type="spellEnd"/>
      <w:r>
        <w:rPr>
          <w:rFonts w:cs="Times New Roman"/>
        </w:rPr>
        <w:t xml:space="preserve">. </w:t>
      </w:r>
    </w:p>
    <w:p w:rsidR="00710E94" w:rsidRDefault="00710E94" w:rsidP="00710E94">
      <w:pPr>
        <w:autoSpaceDE w:val="0"/>
        <w:rPr>
          <w:rFonts w:cs="Times New Roman"/>
        </w:rPr>
      </w:pPr>
      <w:r>
        <w:rPr>
          <w:rFonts w:cs="Times New Roman"/>
        </w:rPr>
        <w:t xml:space="preserve">Beyond the </w:t>
      </w:r>
      <w:proofErr w:type="spellStart"/>
      <w:r>
        <w:rPr>
          <w:rFonts w:cs="Times New Roman"/>
        </w:rPr>
        <w:t>CoOPs</w:t>
      </w:r>
      <w:proofErr w:type="spellEnd"/>
      <w:r>
        <w:rPr>
          <w:rFonts w:cs="Times New Roman"/>
        </w:rPr>
        <w:t xml:space="preserve">, the climate assessments will assist OEM in its update of the City's emergency operations plan (EOP) to reflect the effects of climate change. One crucial area raised by many City departments is the ability to communicate effectively, both within City government and with the public. The Office of Emergency Management should review the City's EOP in conjunction with the review of </w:t>
      </w:r>
      <w:proofErr w:type="spellStart"/>
      <w:r>
        <w:rPr>
          <w:rFonts w:cs="Times New Roman"/>
        </w:rPr>
        <w:t>CoOPs</w:t>
      </w:r>
      <w:proofErr w:type="spellEnd"/>
      <w:r>
        <w:rPr>
          <w:rFonts w:cs="Times New Roman"/>
        </w:rPr>
        <w:t xml:space="preserve"> to ensure that all of these concerns are addressed. EOM should also work with departments to insert, as appropriate, new measures into the City's Natural Hazards Mitigation Plan, while it is still in draft form, or later, as amendments to an approved plan.</w:t>
      </w:r>
    </w:p>
    <w:p w:rsidR="00710E94" w:rsidRDefault="00710E94" w:rsidP="00710E94">
      <w:pPr>
        <w:autoSpaceDE w:val="0"/>
        <w:rPr>
          <w:rFonts w:cs="Times New Roman"/>
        </w:rPr>
      </w:pPr>
      <w:r>
        <w:rPr>
          <w:rFonts w:cs="Times New Roman"/>
          <w:i/>
        </w:rPr>
        <w:lastRenderedPageBreak/>
        <w:t xml:space="preserve">Close coordination with regional, Commonwealth, and federal partners </w:t>
      </w:r>
      <w:proofErr w:type="gramStart"/>
      <w:r>
        <w:rPr>
          <w:rFonts w:cs="Times New Roman"/>
          <w:i/>
        </w:rPr>
        <w:t>is</w:t>
      </w:r>
      <w:proofErr w:type="gramEnd"/>
      <w:r>
        <w:rPr>
          <w:rFonts w:cs="Times New Roman"/>
          <w:i/>
        </w:rPr>
        <w:t xml:space="preserve"> necessary to address cross-jurisdictional issues.</w:t>
      </w:r>
    </w:p>
    <w:p w:rsidR="00710E94" w:rsidRDefault="00710E94" w:rsidP="00710E94">
      <w:pPr>
        <w:autoSpaceDE w:val="0"/>
        <w:rPr>
          <w:rFonts w:cs="Times New Roman"/>
          <w:i/>
        </w:rPr>
      </w:pPr>
      <w:r>
        <w:rPr>
          <w:rFonts w:cs="Times New Roman"/>
        </w:rPr>
        <w:t xml:space="preserve">The City of Boston does not have authority over much of Boston’s critical infrastructure. Examples include the Central Artery/Tunnel and the MBTA, the Charles River Dam, the Deer Island Waste Water Treatment Plant, </w:t>
      </w:r>
      <w:proofErr w:type="spellStart"/>
      <w:r>
        <w:rPr>
          <w:rFonts w:cs="Times New Roman"/>
        </w:rPr>
        <w:t>Storrow</w:t>
      </w:r>
      <w:proofErr w:type="spellEnd"/>
      <w:r>
        <w:rPr>
          <w:rFonts w:cs="Times New Roman"/>
        </w:rPr>
        <w:t xml:space="preserve"> Drive, Morrissey Boulevard and the </w:t>
      </w:r>
      <w:proofErr w:type="spellStart"/>
      <w:r>
        <w:rPr>
          <w:rFonts w:cs="Times New Roman"/>
        </w:rPr>
        <w:t>Jamaicaway</w:t>
      </w:r>
      <w:proofErr w:type="spellEnd"/>
      <w:r>
        <w:rPr>
          <w:rFonts w:cs="Times New Roman"/>
        </w:rPr>
        <w:t>, and the electric and gas distribution systems. As a result, the City cannot directly address long-term vulnerability or manage short-term conditions during emergencies. Several departments highlighted the limitations on their ability to ensure the safety of Boston residents because of these jurisdictional restrictions.</w:t>
      </w:r>
    </w:p>
    <w:p w:rsidR="00710E94" w:rsidRDefault="00710E94" w:rsidP="00710E94">
      <w:pPr>
        <w:autoSpaceDE w:val="0"/>
        <w:rPr>
          <w:rFonts w:cs="Times New Roman"/>
        </w:rPr>
      </w:pPr>
      <w:r>
        <w:rPr>
          <w:rFonts w:cs="Times New Roman"/>
        </w:rPr>
        <w:t xml:space="preserve">Over the past few years, Boston has worked with many offices of the Commonwealth, with regional authorities, and with municipal neighbors specifically on climate preparedness. In some areas, for example, the work of the Massachusetts Water Resources Authority and </w:t>
      </w:r>
      <w:proofErr w:type="spellStart"/>
      <w:r>
        <w:rPr>
          <w:rFonts w:cs="Times New Roman"/>
        </w:rPr>
        <w:t>MassPort</w:t>
      </w:r>
      <w:proofErr w:type="spellEnd"/>
      <w:r>
        <w:rPr>
          <w:rFonts w:cs="Times New Roman"/>
        </w:rPr>
        <w:t>, progress has been excellent. This progress, however, has not been uniform. Given Governor Patrick's recent statement that climate adaptation will be a major priority for the rest of his term, the Mayor and all City officials need to ensure that the Commonwealth and its agencies work with the City to address important needs.</w:t>
      </w:r>
    </w:p>
    <w:p w:rsidR="00710E94" w:rsidRDefault="00710E94" w:rsidP="00710E94">
      <w:pPr>
        <w:autoSpaceDE w:val="0"/>
        <w:rPr>
          <w:rFonts w:cs="Times New Roman"/>
        </w:rPr>
      </w:pPr>
      <w:r>
        <w:rPr>
          <w:rFonts w:cs="Times New Roman"/>
        </w:rPr>
        <w:t>Federal support is also important. For example, the federally-funded Muddy River Project, which will greatly reduce the risk of flooding to the surrounding communities, involved a partnership with multiple federal agencies, the Commonwealth, and several local cities and towns. Securing additional federal support for climate preparedness capital projects will be critical for the City.</w:t>
      </w:r>
    </w:p>
    <w:p w:rsidR="00D4067D" w:rsidRDefault="00710E94">
      <w:bookmarkStart w:id="1" w:name="_GoBack"/>
      <w:bookmarkEnd w:id="1"/>
    </w:p>
    <w:sectPr w:rsidR="00D4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73" w:rsidRDefault="00710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73" w:rsidRDefault="00710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73" w:rsidRDefault="00710E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73" w:rsidRDefault="0071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6D" w:rsidRDefault="00710E94" w:rsidP="004072EE">
    <w:pPr>
      <w:pStyle w:val="Header"/>
    </w:pPr>
    <w:sdt>
      <w:sdtPr>
        <w:id w:val="22326023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991433208"/>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Pr>
            <w:noProof/>
          </w:rPr>
          <w:t>7</w:t>
        </w:r>
        <w:r>
          <w:rPr>
            <w:noProof/>
          </w:rPr>
          <w:fldChar w:fldCharType="end"/>
        </w:r>
      </w:sdtContent>
    </w:sdt>
  </w:p>
  <w:p w:rsidR="00334B6D" w:rsidRDefault="00710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73" w:rsidRDefault="00710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94"/>
    <w:rsid w:val="002C46E4"/>
    <w:rsid w:val="002E1CBB"/>
    <w:rsid w:val="00710E94"/>
    <w:rsid w:val="009A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94"/>
    <w:rPr>
      <w:rFonts w:asciiTheme="majorHAnsi" w:eastAsiaTheme="majorEastAsia" w:hAnsiTheme="majorHAnsi" w:cstheme="majorBidi"/>
      <w:lang w:eastAsia="en-US"/>
    </w:rPr>
  </w:style>
  <w:style w:type="paragraph" w:styleId="Heading1">
    <w:name w:val="heading 1"/>
    <w:basedOn w:val="Normal"/>
    <w:next w:val="Normal"/>
    <w:link w:val="Heading1Char"/>
    <w:uiPriority w:val="9"/>
    <w:qFormat/>
    <w:rsid w:val="00710E94"/>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E94"/>
    <w:rPr>
      <w:rFonts w:asciiTheme="majorHAnsi" w:eastAsiaTheme="majorEastAsia" w:hAnsiTheme="majorHAnsi" w:cstheme="majorBidi"/>
      <w:smallCaps/>
      <w:spacing w:val="5"/>
      <w:sz w:val="36"/>
      <w:szCs w:val="36"/>
      <w:lang w:eastAsia="en-US"/>
    </w:rPr>
  </w:style>
  <w:style w:type="paragraph" w:styleId="Title">
    <w:name w:val="Title"/>
    <w:basedOn w:val="Normal"/>
    <w:next w:val="Normal"/>
    <w:link w:val="TitleChar"/>
    <w:uiPriority w:val="10"/>
    <w:qFormat/>
    <w:rsid w:val="00710E9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10E94"/>
    <w:rPr>
      <w:rFonts w:asciiTheme="majorHAnsi" w:eastAsiaTheme="majorEastAsia" w:hAnsiTheme="majorHAnsi" w:cstheme="majorBidi"/>
      <w:smallCaps/>
      <w:sz w:val="52"/>
      <w:szCs w:val="52"/>
      <w:lang w:eastAsia="en-US"/>
    </w:rPr>
  </w:style>
  <w:style w:type="character" w:styleId="Strong">
    <w:name w:val="Strong"/>
    <w:uiPriority w:val="22"/>
    <w:qFormat/>
    <w:rsid w:val="00710E94"/>
    <w:rPr>
      <w:b/>
      <w:bCs/>
    </w:rPr>
  </w:style>
  <w:style w:type="paragraph" w:styleId="NoSpacing">
    <w:name w:val="No Spacing"/>
    <w:basedOn w:val="Normal"/>
    <w:link w:val="NoSpacingChar"/>
    <w:uiPriority w:val="1"/>
    <w:qFormat/>
    <w:rsid w:val="00710E94"/>
    <w:pPr>
      <w:spacing w:after="0" w:line="240" w:lineRule="auto"/>
    </w:pPr>
  </w:style>
  <w:style w:type="paragraph" w:styleId="TOCHeading">
    <w:name w:val="TOC Heading"/>
    <w:basedOn w:val="Heading1"/>
    <w:next w:val="Normal"/>
    <w:uiPriority w:val="39"/>
    <w:semiHidden/>
    <w:unhideWhenUsed/>
    <w:qFormat/>
    <w:rsid w:val="00710E94"/>
    <w:pPr>
      <w:outlineLvl w:val="9"/>
    </w:pPr>
    <w:rPr>
      <w:lang w:bidi="en-US"/>
    </w:rPr>
  </w:style>
  <w:style w:type="paragraph" w:styleId="TOC1">
    <w:name w:val="toc 1"/>
    <w:basedOn w:val="Normal"/>
    <w:next w:val="Normal"/>
    <w:autoRedefine/>
    <w:uiPriority w:val="39"/>
    <w:unhideWhenUsed/>
    <w:rsid w:val="00710E94"/>
    <w:pPr>
      <w:spacing w:after="100"/>
    </w:pPr>
  </w:style>
  <w:style w:type="paragraph" w:styleId="TOC2">
    <w:name w:val="toc 2"/>
    <w:basedOn w:val="Normal"/>
    <w:next w:val="Normal"/>
    <w:autoRedefine/>
    <w:uiPriority w:val="39"/>
    <w:unhideWhenUsed/>
    <w:rsid w:val="00710E94"/>
    <w:pPr>
      <w:spacing w:after="100"/>
      <w:ind w:left="220"/>
    </w:pPr>
  </w:style>
  <w:style w:type="paragraph" w:styleId="TOC3">
    <w:name w:val="toc 3"/>
    <w:basedOn w:val="Normal"/>
    <w:next w:val="Normal"/>
    <w:autoRedefine/>
    <w:uiPriority w:val="39"/>
    <w:unhideWhenUsed/>
    <w:rsid w:val="00710E94"/>
    <w:pPr>
      <w:spacing w:after="100"/>
      <w:ind w:left="440"/>
    </w:pPr>
  </w:style>
  <w:style w:type="character" w:styleId="Hyperlink">
    <w:name w:val="Hyperlink"/>
    <w:basedOn w:val="DefaultParagraphFont"/>
    <w:uiPriority w:val="99"/>
    <w:unhideWhenUsed/>
    <w:rsid w:val="00710E94"/>
    <w:rPr>
      <w:color w:val="0000FF" w:themeColor="hyperlink"/>
      <w:u w:val="single"/>
    </w:rPr>
  </w:style>
  <w:style w:type="character" w:customStyle="1" w:styleId="NoSpacingChar">
    <w:name w:val="No Spacing Char"/>
    <w:basedOn w:val="DefaultParagraphFont"/>
    <w:link w:val="NoSpacing"/>
    <w:uiPriority w:val="1"/>
    <w:rsid w:val="00710E94"/>
    <w:rPr>
      <w:rFonts w:asciiTheme="majorHAnsi" w:eastAsiaTheme="majorEastAsia" w:hAnsiTheme="majorHAnsi" w:cstheme="majorBidi"/>
      <w:lang w:eastAsia="en-US"/>
    </w:rPr>
  </w:style>
  <w:style w:type="paragraph" w:styleId="Header">
    <w:name w:val="header"/>
    <w:basedOn w:val="Normal"/>
    <w:link w:val="HeaderChar"/>
    <w:uiPriority w:val="99"/>
    <w:rsid w:val="0071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94"/>
    <w:rPr>
      <w:rFonts w:asciiTheme="majorHAnsi" w:eastAsiaTheme="majorEastAsia" w:hAnsiTheme="majorHAnsi" w:cstheme="majorBidi"/>
      <w:lang w:eastAsia="en-US"/>
    </w:rPr>
  </w:style>
  <w:style w:type="paragraph" w:styleId="Footer">
    <w:name w:val="footer"/>
    <w:basedOn w:val="Normal"/>
    <w:link w:val="FooterChar"/>
    <w:rsid w:val="00710E94"/>
    <w:pPr>
      <w:tabs>
        <w:tab w:val="center" w:pos="4680"/>
        <w:tab w:val="right" w:pos="9360"/>
      </w:tabs>
      <w:spacing w:after="0" w:line="240" w:lineRule="auto"/>
    </w:pPr>
  </w:style>
  <w:style w:type="character" w:customStyle="1" w:styleId="FooterChar">
    <w:name w:val="Footer Char"/>
    <w:basedOn w:val="DefaultParagraphFont"/>
    <w:link w:val="Footer"/>
    <w:rsid w:val="00710E94"/>
    <w:rPr>
      <w:rFonts w:asciiTheme="majorHAnsi" w:eastAsiaTheme="majorEastAsia" w:hAnsiTheme="majorHAnsi" w:cstheme="majorBidi"/>
      <w:lang w:eastAsia="en-US"/>
    </w:rPr>
  </w:style>
  <w:style w:type="paragraph" w:styleId="BalloonText">
    <w:name w:val="Balloon Text"/>
    <w:basedOn w:val="Normal"/>
    <w:link w:val="BalloonTextChar"/>
    <w:uiPriority w:val="99"/>
    <w:semiHidden/>
    <w:unhideWhenUsed/>
    <w:rsid w:val="0071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94"/>
    <w:rPr>
      <w:rFonts w:ascii="Tahoma" w:eastAsiaTheme="majorEastAs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94"/>
    <w:rPr>
      <w:rFonts w:asciiTheme="majorHAnsi" w:eastAsiaTheme="majorEastAsia" w:hAnsiTheme="majorHAnsi" w:cstheme="majorBidi"/>
      <w:lang w:eastAsia="en-US"/>
    </w:rPr>
  </w:style>
  <w:style w:type="paragraph" w:styleId="Heading1">
    <w:name w:val="heading 1"/>
    <w:basedOn w:val="Normal"/>
    <w:next w:val="Normal"/>
    <w:link w:val="Heading1Char"/>
    <w:uiPriority w:val="9"/>
    <w:qFormat/>
    <w:rsid w:val="00710E94"/>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E94"/>
    <w:rPr>
      <w:rFonts w:asciiTheme="majorHAnsi" w:eastAsiaTheme="majorEastAsia" w:hAnsiTheme="majorHAnsi" w:cstheme="majorBidi"/>
      <w:smallCaps/>
      <w:spacing w:val="5"/>
      <w:sz w:val="36"/>
      <w:szCs w:val="36"/>
      <w:lang w:eastAsia="en-US"/>
    </w:rPr>
  </w:style>
  <w:style w:type="paragraph" w:styleId="Title">
    <w:name w:val="Title"/>
    <w:basedOn w:val="Normal"/>
    <w:next w:val="Normal"/>
    <w:link w:val="TitleChar"/>
    <w:uiPriority w:val="10"/>
    <w:qFormat/>
    <w:rsid w:val="00710E9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10E94"/>
    <w:rPr>
      <w:rFonts w:asciiTheme="majorHAnsi" w:eastAsiaTheme="majorEastAsia" w:hAnsiTheme="majorHAnsi" w:cstheme="majorBidi"/>
      <w:smallCaps/>
      <w:sz w:val="52"/>
      <w:szCs w:val="52"/>
      <w:lang w:eastAsia="en-US"/>
    </w:rPr>
  </w:style>
  <w:style w:type="character" w:styleId="Strong">
    <w:name w:val="Strong"/>
    <w:uiPriority w:val="22"/>
    <w:qFormat/>
    <w:rsid w:val="00710E94"/>
    <w:rPr>
      <w:b/>
      <w:bCs/>
    </w:rPr>
  </w:style>
  <w:style w:type="paragraph" w:styleId="NoSpacing">
    <w:name w:val="No Spacing"/>
    <w:basedOn w:val="Normal"/>
    <w:link w:val="NoSpacingChar"/>
    <w:uiPriority w:val="1"/>
    <w:qFormat/>
    <w:rsid w:val="00710E94"/>
    <w:pPr>
      <w:spacing w:after="0" w:line="240" w:lineRule="auto"/>
    </w:pPr>
  </w:style>
  <w:style w:type="paragraph" w:styleId="TOCHeading">
    <w:name w:val="TOC Heading"/>
    <w:basedOn w:val="Heading1"/>
    <w:next w:val="Normal"/>
    <w:uiPriority w:val="39"/>
    <w:semiHidden/>
    <w:unhideWhenUsed/>
    <w:qFormat/>
    <w:rsid w:val="00710E94"/>
    <w:pPr>
      <w:outlineLvl w:val="9"/>
    </w:pPr>
    <w:rPr>
      <w:lang w:bidi="en-US"/>
    </w:rPr>
  </w:style>
  <w:style w:type="paragraph" w:styleId="TOC1">
    <w:name w:val="toc 1"/>
    <w:basedOn w:val="Normal"/>
    <w:next w:val="Normal"/>
    <w:autoRedefine/>
    <w:uiPriority w:val="39"/>
    <w:unhideWhenUsed/>
    <w:rsid w:val="00710E94"/>
    <w:pPr>
      <w:spacing w:after="100"/>
    </w:pPr>
  </w:style>
  <w:style w:type="paragraph" w:styleId="TOC2">
    <w:name w:val="toc 2"/>
    <w:basedOn w:val="Normal"/>
    <w:next w:val="Normal"/>
    <w:autoRedefine/>
    <w:uiPriority w:val="39"/>
    <w:unhideWhenUsed/>
    <w:rsid w:val="00710E94"/>
    <w:pPr>
      <w:spacing w:after="100"/>
      <w:ind w:left="220"/>
    </w:pPr>
  </w:style>
  <w:style w:type="paragraph" w:styleId="TOC3">
    <w:name w:val="toc 3"/>
    <w:basedOn w:val="Normal"/>
    <w:next w:val="Normal"/>
    <w:autoRedefine/>
    <w:uiPriority w:val="39"/>
    <w:unhideWhenUsed/>
    <w:rsid w:val="00710E94"/>
    <w:pPr>
      <w:spacing w:after="100"/>
      <w:ind w:left="440"/>
    </w:pPr>
  </w:style>
  <w:style w:type="character" w:styleId="Hyperlink">
    <w:name w:val="Hyperlink"/>
    <w:basedOn w:val="DefaultParagraphFont"/>
    <w:uiPriority w:val="99"/>
    <w:unhideWhenUsed/>
    <w:rsid w:val="00710E94"/>
    <w:rPr>
      <w:color w:val="0000FF" w:themeColor="hyperlink"/>
      <w:u w:val="single"/>
    </w:rPr>
  </w:style>
  <w:style w:type="character" w:customStyle="1" w:styleId="NoSpacingChar">
    <w:name w:val="No Spacing Char"/>
    <w:basedOn w:val="DefaultParagraphFont"/>
    <w:link w:val="NoSpacing"/>
    <w:uiPriority w:val="1"/>
    <w:rsid w:val="00710E94"/>
    <w:rPr>
      <w:rFonts w:asciiTheme="majorHAnsi" w:eastAsiaTheme="majorEastAsia" w:hAnsiTheme="majorHAnsi" w:cstheme="majorBidi"/>
      <w:lang w:eastAsia="en-US"/>
    </w:rPr>
  </w:style>
  <w:style w:type="paragraph" w:styleId="Header">
    <w:name w:val="header"/>
    <w:basedOn w:val="Normal"/>
    <w:link w:val="HeaderChar"/>
    <w:uiPriority w:val="99"/>
    <w:rsid w:val="0071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94"/>
    <w:rPr>
      <w:rFonts w:asciiTheme="majorHAnsi" w:eastAsiaTheme="majorEastAsia" w:hAnsiTheme="majorHAnsi" w:cstheme="majorBidi"/>
      <w:lang w:eastAsia="en-US"/>
    </w:rPr>
  </w:style>
  <w:style w:type="paragraph" w:styleId="Footer">
    <w:name w:val="footer"/>
    <w:basedOn w:val="Normal"/>
    <w:link w:val="FooterChar"/>
    <w:rsid w:val="00710E94"/>
    <w:pPr>
      <w:tabs>
        <w:tab w:val="center" w:pos="4680"/>
        <w:tab w:val="right" w:pos="9360"/>
      </w:tabs>
      <w:spacing w:after="0" w:line="240" w:lineRule="auto"/>
    </w:pPr>
  </w:style>
  <w:style w:type="character" w:customStyle="1" w:styleId="FooterChar">
    <w:name w:val="Footer Char"/>
    <w:basedOn w:val="DefaultParagraphFont"/>
    <w:link w:val="Footer"/>
    <w:rsid w:val="00710E94"/>
    <w:rPr>
      <w:rFonts w:asciiTheme="majorHAnsi" w:eastAsiaTheme="majorEastAsia" w:hAnsiTheme="majorHAnsi" w:cstheme="majorBidi"/>
      <w:lang w:eastAsia="en-US"/>
    </w:rPr>
  </w:style>
  <w:style w:type="paragraph" w:styleId="BalloonText">
    <w:name w:val="Balloon Text"/>
    <w:basedOn w:val="Normal"/>
    <w:link w:val="BalloonTextChar"/>
    <w:uiPriority w:val="99"/>
    <w:semiHidden/>
    <w:unhideWhenUsed/>
    <w:rsid w:val="0071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94"/>
    <w:rPr>
      <w:rFonts w:ascii="Tahoma" w:eastAsiaTheme="maj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Zhu</dc:creator>
  <cp:lastModifiedBy>Charles Zhu</cp:lastModifiedBy>
  <cp:revision>1</cp:revision>
  <dcterms:created xsi:type="dcterms:W3CDTF">2013-10-14T18:57:00Z</dcterms:created>
  <dcterms:modified xsi:type="dcterms:W3CDTF">2013-10-14T18:58:00Z</dcterms:modified>
</cp:coreProperties>
</file>