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DD" w:rsidRPr="00003893" w:rsidRDefault="00AA0CDD" w:rsidP="00AA0CDD">
      <w:pPr>
        <w:spacing w:before="240" w:after="240"/>
        <w:contextualSpacing w:val="0"/>
        <w:jc w:val="center"/>
        <w:rPr>
          <w:sz w:val="24"/>
          <w:szCs w:val="24"/>
        </w:rPr>
      </w:pPr>
      <w:proofErr w:type="spellStart"/>
      <w:r w:rsidRPr="00003893">
        <w:rPr>
          <w:sz w:val="24"/>
          <w:szCs w:val="24"/>
        </w:rPr>
        <w:t>Panaji</w:t>
      </w:r>
      <w:proofErr w:type="spellEnd"/>
      <w:r w:rsidRPr="00003893">
        <w:rPr>
          <w:sz w:val="24"/>
          <w:szCs w:val="24"/>
        </w:rPr>
        <w:t>: A Journey towards Successful Waste Segregation Leading to a No- Landfill City</w:t>
      </w:r>
    </w:p>
    <w:p w:rsidR="00AA0CDD" w:rsidRPr="00003893" w:rsidRDefault="00AA0CDD" w:rsidP="00AA0CDD">
      <w:pPr>
        <w:rPr>
          <w:b/>
          <w:szCs w:val="22"/>
        </w:rPr>
      </w:pPr>
      <w:proofErr w:type="spellStart"/>
      <w:r w:rsidRPr="00003893">
        <w:rPr>
          <w:szCs w:val="22"/>
        </w:rPr>
        <w:t>Panaji</w:t>
      </w:r>
      <w:proofErr w:type="spellEnd"/>
      <w:r w:rsidRPr="00003893">
        <w:rPr>
          <w:szCs w:val="22"/>
        </w:rPr>
        <w:t xml:space="preserve">, the capital of Goa, is one of the most popular international tourist destinations in India. The city is also known for its strong cultural heritage. Being a popular tourist hot-spot, the city usually witnesses more than a </w:t>
      </w:r>
      <w:proofErr w:type="spellStart"/>
      <w:r w:rsidRPr="00003893">
        <w:rPr>
          <w:szCs w:val="22"/>
        </w:rPr>
        <w:t>lakh</w:t>
      </w:r>
      <w:proofErr w:type="spellEnd"/>
      <w:r w:rsidRPr="00003893">
        <w:rPr>
          <w:szCs w:val="22"/>
        </w:rPr>
        <w:t xml:space="preserve"> 25000 tourists during prime seasons. The large influx of tourist population also leads to huge amount of waste generation which usually </w:t>
      </w:r>
      <w:proofErr w:type="gramStart"/>
      <w:r w:rsidRPr="00003893">
        <w:rPr>
          <w:szCs w:val="22"/>
        </w:rPr>
        <w:t>consist</w:t>
      </w:r>
      <w:proofErr w:type="gramEnd"/>
      <w:r w:rsidRPr="00003893">
        <w:rPr>
          <w:szCs w:val="22"/>
        </w:rPr>
        <w:t xml:space="preserve"> of multi-layered packaging (</w:t>
      </w:r>
      <w:proofErr w:type="spellStart"/>
      <w:r w:rsidRPr="00003893">
        <w:rPr>
          <w:szCs w:val="22"/>
        </w:rPr>
        <w:t>tetrapak</w:t>
      </w:r>
      <w:proofErr w:type="spellEnd"/>
      <w:r w:rsidRPr="00003893">
        <w:rPr>
          <w:szCs w:val="22"/>
        </w:rPr>
        <w:t xml:space="preserve">), PET bottles, plastics, rubber and other recyclables with a high embodied energy. </w:t>
      </w:r>
    </w:p>
    <w:p w:rsidR="00AA0CDD" w:rsidRPr="00003893" w:rsidRDefault="00AA0CDD" w:rsidP="00AA0CDD">
      <w:pPr>
        <w:rPr>
          <w:b/>
          <w:szCs w:val="22"/>
        </w:rPr>
      </w:pPr>
      <w:r w:rsidRPr="00003893">
        <w:rPr>
          <w:szCs w:val="22"/>
        </w:rPr>
        <w:t xml:space="preserve">Till early 1990s, municipal solid waste management in the city was restricted to collection of mixed waste and subsequent dumping of waste at the landfill located in </w:t>
      </w:r>
      <w:proofErr w:type="spellStart"/>
      <w:r w:rsidRPr="00003893">
        <w:rPr>
          <w:szCs w:val="22"/>
        </w:rPr>
        <w:t>Baingani</w:t>
      </w:r>
      <w:proofErr w:type="spellEnd"/>
      <w:r w:rsidRPr="00003893">
        <w:rPr>
          <w:szCs w:val="22"/>
        </w:rPr>
        <w:t xml:space="preserve">. </w:t>
      </w:r>
      <w:proofErr w:type="gramStart"/>
      <w:r w:rsidRPr="00003893">
        <w:rPr>
          <w:szCs w:val="22"/>
        </w:rPr>
        <w:t>Asynchronous  waste</w:t>
      </w:r>
      <w:proofErr w:type="gramEnd"/>
      <w:r w:rsidRPr="00003893">
        <w:rPr>
          <w:szCs w:val="22"/>
        </w:rPr>
        <w:t xml:space="preserve"> management activities resulted in an inefficient system with poor infrastructure resulting in unhygienic civic conditions. During intense spells of rain the mountain of waste in the dump site slipped and inundated downstream residential areas, resulting in massive public protests against dumping of waste anywhere within the city boundary. </w:t>
      </w:r>
    </w:p>
    <w:p w:rsidR="00AA0CDD" w:rsidRPr="00003893" w:rsidRDefault="00AA0CDD" w:rsidP="00AA0CDD">
      <w:pPr>
        <w:rPr>
          <w:b/>
          <w:szCs w:val="22"/>
        </w:rPr>
      </w:pPr>
      <w:r w:rsidRPr="00003893">
        <w:rPr>
          <w:szCs w:val="22"/>
        </w:rPr>
        <w:t xml:space="preserve">Innovative leadership by the Commissioner of </w:t>
      </w:r>
      <w:proofErr w:type="spellStart"/>
      <w:r w:rsidRPr="00003893">
        <w:rPr>
          <w:szCs w:val="22"/>
        </w:rPr>
        <w:t>Panaji</w:t>
      </w:r>
      <w:proofErr w:type="spellEnd"/>
      <w:r w:rsidRPr="00003893">
        <w:rPr>
          <w:szCs w:val="22"/>
        </w:rPr>
        <w:t xml:space="preserve"> resulted in the campaign “Bin Free in 2003”, as an initiative to improve municipal solid waste management system in the city. The key elements of the program were:</w:t>
      </w:r>
    </w:p>
    <w:p w:rsidR="00AA0CDD" w:rsidRPr="00003893" w:rsidRDefault="00AA0CDD" w:rsidP="00AA0CDD">
      <w:pPr>
        <w:pStyle w:val="ListParagraph"/>
        <w:numPr>
          <w:ilvl w:val="0"/>
          <w:numId w:val="1"/>
        </w:numPr>
        <w:spacing w:line="288" w:lineRule="auto"/>
        <w:rPr>
          <w:rFonts w:ascii="Times New Roman" w:hAnsi="Times New Roman" w:cs="Times New Roman"/>
          <w:b/>
        </w:rPr>
      </w:pPr>
      <w:r w:rsidRPr="00003893">
        <w:rPr>
          <w:rFonts w:ascii="Times New Roman" w:hAnsi="Times New Roman" w:cs="Times New Roman"/>
        </w:rPr>
        <w:t>Door to door collection of segregated waste (dry waste and wet waste) for the entire city of Panaji along with the introduction of service charges</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Substitution of community bins by trolley bins along with automated truck-loading systems</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 xml:space="preserve">Program for recycling of all recyclable waste and composting organic waste. </w:t>
      </w:r>
    </w:p>
    <w:p w:rsidR="00AA0CDD" w:rsidRPr="00003893" w:rsidRDefault="00AA0CDD" w:rsidP="00AA0CDD">
      <w:pPr>
        <w:rPr>
          <w:b/>
        </w:rPr>
      </w:pPr>
      <w:r w:rsidRPr="00003893">
        <w:t xml:space="preserve">The Corporation involved volunteers and local leaders to create awareness regarding segregation of waste at the household level. Trained volunteers; predominantly school/ college students visited individual households to practically demonstrate waste segregation. To begin with, green and black </w:t>
      </w:r>
      <w:proofErr w:type="spellStart"/>
      <w:r w:rsidRPr="00003893">
        <w:t>coloured</w:t>
      </w:r>
      <w:proofErr w:type="spellEnd"/>
      <w:r w:rsidRPr="00003893">
        <w:t xml:space="preserve"> bins were sold to households at subsidized rates. The households were sensitized towards importance of segregating kitchen waste from other waste. Green bins are used for wet waste and black bins are used for dry waste. The bins came with a screw system which reduced the chances of tipping over by stray dogs and cats. These bins were specifically designed for use in </w:t>
      </w:r>
      <w:proofErr w:type="spellStart"/>
      <w:r w:rsidRPr="00003893">
        <w:t>Panaji</w:t>
      </w:r>
      <w:proofErr w:type="spellEnd"/>
      <w:r w:rsidRPr="00003893">
        <w:t xml:space="preserve">. Due to public interest generated and given the situation where the city had no other solution for waste management, both the community and political leaders supported the initiatives of the Municipal Corporation of </w:t>
      </w:r>
      <w:proofErr w:type="spellStart"/>
      <w:r w:rsidRPr="00003893">
        <w:t>Panaji</w:t>
      </w:r>
      <w:proofErr w:type="spellEnd"/>
      <w:r w:rsidRPr="00003893">
        <w:t xml:space="preserve">. </w:t>
      </w:r>
    </w:p>
    <w:p w:rsidR="00AA0CDD" w:rsidRPr="00003893" w:rsidRDefault="00AA0CDD" w:rsidP="00AA0CDD">
      <w:pPr>
        <w:rPr>
          <w:b/>
        </w:rPr>
      </w:pPr>
    </w:p>
    <w:p w:rsidR="00AA0CDD" w:rsidRPr="00003893" w:rsidRDefault="00AA0CDD" w:rsidP="00AA0CDD">
      <w:pPr>
        <w:spacing w:after="0"/>
        <w:rPr>
          <w:b/>
          <w:szCs w:val="22"/>
        </w:rPr>
      </w:pPr>
      <w:r w:rsidRPr="00003893">
        <w:rPr>
          <w:szCs w:val="22"/>
        </w:rPr>
        <w:t xml:space="preserve">Subsequently, to tackle the issue of mixed dry waste, the Corporation also implemented the “four bin system” in housing colonies. The bins are </w:t>
      </w:r>
      <w:proofErr w:type="spellStart"/>
      <w:r w:rsidRPr="00003893">
        <w:rPr>
          <w:szCs w:val="22"/>
        </w:rPr>
        <w:t>colour</w:t>
      </w:r>
      <w:proofErr w:type="spellEnd"/>
      <w:r w:rsidRPr="00003893">
        <w:rPr>
          <w:szCs w:val="22"/>
        </w:rPr>
        <w:t xml:space="preserve"> coded for easy segregation of dry waste.</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Grey bins for glass and metal waste</w:t>
      </w:r>
    </w:p>
    <w:p w:rsidR="00003893" w:rsidRPr="00003893" w:rsidRDefault="00003893" w:rsidP="00003893">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Brown bins for paper and cartons</w:t>
      </w:r>
    </w:p>
    <w:p w:rsidR="00003893" w:rsidRPr="00003893" w:rsidRDefault="00003893" w:rsidP="00003893">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Orange bins for plastic waste, and</w:t>
      </w:r>
    </w:p>
    <w:p w:rsidR="00003893" w:rsidRPr="00003893" w:rsidRDefault="00003893" w:rsidP="00003893">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Purple for non- recyclable items like thermocol, ceramic, batteries et</w:t>
      </w:r>
      <w:r>
        <w:rPr>
          <w:rFonts w:ascii="Times New Roman" w:hAnsi="Times New Roman" w:cs="Times New Roman"/>
        </w:rPr>
        <w:t>c</w:t>
      </w:r>
    </w:p>
    <w:p w:rsidR="00003893" w:rsidRDefault="00003893" w:rsidP="00003893">
      <w:pPr>
        <w:rPr>
          <w:b/>
        </w:rPr>
      </w:pPr>
    </w:p>
    <w:p w:rsidR="00003893" w:rsidRDefault="00003893" w:rsidP="00003893">
      <w:pPr>
        <w:rPr>
          <w:b/>
        </w:rPr>
      </w:pPr>
    </w:p>
    <w:p w:rsidR="00003893" w:rsidRDefault="00003893" w:rsidP="00003893">
      <w:pPr>
        <w:rPr>
          <w:b/>
        </w:rPr>
      </w:pPr>
    </w:p>
    <w:p w:rsidR="00003893" w:rsidRDefault="00003893" w:rsidP="00003893">
      <w:pPr>
        <w:rPr>
          <w:b/>
        </w:rPr>
      </w:pPr>
    </w:p>
    <w:p w:rsidR="00003893" w:rsidRPr="00003893" w:rsidRDefault="00003893" w:rsidP="00003893">
      <w:pPr>
        <w:rPr>
          <w:b/>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p>
    <w:p w:rsidR="00003893" w:rsidRDefault="00003893" w:rsidP="00AA0CDD">
      <w:pPr>
        <w:rPr>
          <w:szCs w:val="22"/>
        </w:rPr>
      </w:pPr>
      <w:r w:rsidRPr="00003893">
        <w:rPr>
          <w:szCs w:val="22"/>
        </w:rPr>
        <w:drawing>
          <wp:anchor distT="0" distB="0" distL="182880" distR="182880" simplePos="0" relativeHeight="251668480" behindDoc="0" locked="1" layoutInCell="1" allowOverlap="0">
            <wp:simplePos x="0" y="0"/>
            <wp:positionH relativeFrom="column">
              <wp:posOffset>3260725</wp:posOffset>
            </wp:positionH>
            <wp:positionV relativeFrom="page">
              <wp:posOffset>1286510</wp:posOffset>
            </wp:positionV>
            <wp:extent cx="1598295" cy="1261110"/>
            <wp:effectExtent l="19050" t="19050" r="20955" b="15240"/>
            <wp:wrapSquare wrapText="bothSides"/>
            <wp:docPr id="2" name="Picture 21" descr="Microsoft Word - CCP - SAS for Restaurants.pdf"/>
            <wp:cNvGraphicFramePr/>
            <a:graphic xmlns:a="http://schemas.openxmlformats.org/drawingml/2006/main">
              <a:graphicData uri="http://schemas.openxmlformats.org/drawingml/2006/picture">
                <pic:pic xmlns:pic="http://schemas.openxmlformats.org/drawingml/2006/picture">
                  <pic:nvPicPr>
                    <pic:cNvPr id="2" name="Picture 1" descr="Microsoft Word - CCP - SAS for Restaurants.pdf"/>
                    <pic:cNvPicPr>
                      <a:picLocks noChangeAspect="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tretch>
                      <a:fillRect/>
                    </a:stretch>
                  </pic:blipFill>
                  <pic:spPr>
                    <a:xfrm>
                      <a:off x="0" y="0"/>
                      <a:ext cx="1598295" cy="1261110"/>
                    </a:xfrm>
                    <a:prstGeom prst="rect">
                      <a:avLst/>
                    </a:prstGeom>
                    <a:ln>
                      <a:solidFill>
                        <a:schemeClr val="tx1"/>
                      </a:solidFill>
                    </a:ln>
                  </pic:spPr>
                </pic:pic>
              </a:graphicData>
            </a:graphic>
          </wp:anchor>
        </w:drawing>
      </w:r>
      <w:r w:rsidRPr="00003893">
        <w:rPr>
          <w:szCs w:val="22"/>
        </w:rPr>
        <w:drawing>
          <wp:anchor distT="0" distB="0" distL="182880" distR="182880" simplePos="0" relativeHeight="251666432" behindDoc="0" locked="1" layoutInCell="1" allowOverlap="0">
            <wp:simplePos x="0" y="0"/>
            <wp:positionH relativeFrom="column">
              <wp:posOffset>777875</wp:posOffset>
            </wp:positionH>
            <wp:positionV relativeFrom="page">
              <wp:posOffset>1172845</wp:posOffset>
            </wp:positionV>
            <wp:extent cx="1823085" cy="1467485"/>
            <wp:effectExtent l="19050" t="19050" r="24765" b="18415"/>
            <wp:wrapSquare wrapText="bothSides"/>
            <wp:docPr id="1" name="Picture 9" descr="D:\CV Waste Management\P1010448.JPG"/>
            <wp:cNvGraphicFramePr/>
            <a:graphic xmlns:a="http://schemas.openxmlformats.org/drawingml/2006/main">
              <a:graphicData uri="http://schemas.openxmlformats.org/drawingml/2006/picture">
                <pic:pic xmlns:pic="http://schemas.openxmlformats.org/drawingml/2006/picture">
                  <pic:nvPicPr>
                    <pic:cNvPr id="10" name="Picture 9" descr="D:\CV Waste Management\P1010448.JPG"/>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1823085" cy="1467485"/>
                    </a:xfrm>
                    <a:prstGeom prst="rect">
                      <a:avLst/>
                    </a:prstGeom>
                    <a:noFill/>
                    <a:ln>
                      <a:solidFill>
                        <a:schemeClr val="tx1"/>
                      </a:solidFill>
                    </a:ln>
                    <a:extLst/>
                  </pic:spPr>
                </pic:pic>
              </a:graphicData>
            </a:graphic>
          </wp:anchor>
        </w:drawing>
      </w:r>
    </w:p>
    <w:p w:rsidR="00003893" w:rsidRDefault="00003893" w:rsidP="00AA0CDD">
      <w:pPr>
        <w:rPr>
          <w:szCs w:val="22"/>
        </w:rPr>
      </w:pPr>
    </w:p>
    <w:p w:rsidR="00AA0CDD" w:rsidRPr="00003893" w:rsidRDefault="00AA0CDD" w:rsidP="00AA0CDD">
      <w:pPr>
        <w:rPr>
          <w:b/>
          <w:szCs w:val="22"/>
        </w:rPr>
      </w:pPr>
      <w:r w:rsidRPr="00003893">
        <w:rPr>
          <w:szCs w:val="22"/>
        </w:rPr>
        <w:t>Waste generated from hotels and restaurants is segregated into five bins:</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Green bin for wet waste</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White/ translucent bins for plastic waste</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Black bins for plastic waste</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Pink bins for metals/ glass</w:t>
      </w:r>
    </w:p>
    <w:p w:rsidR="00AA0CDD" w:rsidRPr="00003893" w:rsidRDefault="00AA0CDD" w:rsidP="00AA0CDD">
      <w:pPr>
        <w:pStyle w:val="ListParagraph"/>
        <w:numPr>
          <w:ilvl w:val="0"/>
          <w:numId w:val="1"/>
        </w:numPr>
        <w:spacing w:line="288" w:lineRule="auto"/>
        <w:jc w:val="both"/>
        <w:rPr>
          <w:rFonts w:ascii="Times New Roman" w:hAnsi="Times New Roman" w:cs="Times New Roman"/>
          <w:b/>
        </w:rPr>
      </w:pPr>
      <w:r w:rsidRPr="00003893">
        <w:rPr>
          <w:rFonts w:ascii="Times New Roman" w:hAnsi="Times New Roman" w:cs="Times New Roman"/>
        </w:rPr>
        <w:t>Brown/ Orange bins for non- recyclables</w:t>
      </w:r>
    </w:p>
    <w:p w:rsidR="00AA0CDD" w:rsidRPr="00003893" w:rsidRDefault="00AA0CDD" w:rsidP="00AA0CDD">
      <w:pPr>
        <w:rPr>
          <w:b/>
          <w:szCs w:val="22"/>
        </w:rPr>
      </w:pPr>
      <w:r w:rsidRPr="00003893">
        <w:rPr>
          <w:szCs w:val="22"/>
        </w:rPr>
        <w:t xml:space="preserve">Housing societies have employed workers to collect waste from households. The biomedical waste consisting of cotton swabs, soiled diapers and sanitary napkins is collected separately from the houses in yellow </w:t>
      </w:r>
      <w:proofErr w:type="spellStart"/>
      <w:r w:rsidRPr="00003893">
        <w:rPr>
          <w:szCs w:val="22"/>
        </w:rPr>
        <w:t>coloured</w:t>
      </w:r>
      <w:proofErr w:type="spellEnd"/>
      <w:r w:rsidRPr="00003893">
        <w:rPr>
          <w:szCs w:val="22"/>
        </w:rPr>
        <w:t xml:space="preserve"> bags and transferred to the municipal vans for scientific disposal. </w:t>
      </w:r>
    </w:p>
    <w:p w:rsidR="001B3E4B" w:rsidRDefault="001B3E4B"/>
    <w:p w:rsidR="00AA0CDD" w:rsidRDefault="00AA0CDD"/>
    <w:sectPr w:rsidR="00AA0CDD" w:rsidSect="001B3E4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B76A5"/>
    <w:multiLevelType w:val="hybridMultilevel"/>
    <w:tmpl w:val="CEFC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A0CDD"/>
    <w:rsid w:val="00003893"/>
    <w:rsid w:val="001B3E4B"/>
    <w:rsid w:val="003B2F30"/>
    <w:rsid w:val="00A41549"/>
    <w:rsid w:val="00AA0CDD"/>
    <w:rsid w:val="00C2500C"/>
    <w:rsid w:val="00FE3B0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CDD"/>
    <w:pPr>
      <w:spacing w:after="120" w:line="288" w:lineRule="auto"/>
      <w:contextualSpacing/>
      <w:jc w:val="both"/>
    </w:pPr>
    <w:rPr>
      <w:rFonts w:ascii="Times New Roman" w:eastAsia="Calibri"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A0CDD"/>
    <w:rPr>
      <w:b/>
      <w:bCs/>
      <w:color w:val="4F81BD"/>
      <w:sz w:val="18"/>
      <w:szCs w:val="18"/>
    </w:rPr>
  </w:style>
  <w:style w:type="paragraph" w:styleId="ListParagraph">
    <w:name w:val="List Paragraph"/>
    <w:basedOn w:val="Normal"/>
    <w:uiPriority w:val="34"/>
    <w:qFormat/>
    <w:rsid w:val="00AA0CDD"/>
    <w:pPr>
      <w:spacing w:after="200" w:line="276" w:lineRule="auto"/>
      <w:ind w:left="720"/>
      <w:jc w:val="left"/>
    </w:pPr>
    <w:rPr>
      <w:rFonts w:asciiTheme="minorHAnsi" w:eastAsiaTheme="minorEastAsia" w:hAnsiTheme="minorHAnsi" w:cstheme="minorBidi"/>
      <w:szCs w:val="22"/>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2013-10-08T08:41:00Z</dcterms:created>
  <dcterms:modified xsi:type="dcterms:W3CDTF">2013-10-08T13:08:00Z</dcterms:modified>
</cp:coreProperties>
</file>